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31F3F" w14:textId="77777777" w:rsidR="00A71295" w:rsidRPr="00E431E0" w:rsidRDefault="0033328C" w:rsidP="0033328C">
      <w:pPr>
        <w:pStyle w:val="Default"/>
        <w:jc w:val="right"/>
        <w:rPr>
          <w:lang w:val="en-US"/>
        </w:rPr>
      </w:pPr>
      <w:r w:rsidRPr="00E431E0">
        <w:rPr>
          <w:noProof/>
          <w:lang w:val="fr-FR" w:eastAsia="fr-FR"/>
        </w:rPr>
        <w:drawing>
          <wp:inline distT="0" distB="0" distL="0" distR="0" wp14:anchorId="08DED095" wp14:editId="66F49415">
            <wp:extent cx="3896140" cy="206736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97040" cy="2067843"/>
                    </a:xfrm>
                    <a:prstGeom prst="rect">
                      <a:avLst/>
                    </a:prstGeom>
                  </pic:spPr>
                </pic:pic>
              </a:graphicData>
            </a:graphic>
          </wp:inline>
        </w:drawing>
      </w:r>
    </w:p>
    <w:p w14:paraId="4B328436" w14:textId="77777777" w:rsidR="00A71295" w:rsidRPr="00E431E0" w:rsidRDefault="00A71295" w:rsidP="00A71295">
      <w:pPr>
        <w:pStyle w:val="Default"/>
        <w:rPr>
          <w:sz w:val="20"/>
          <w:szCs w:val="20"/>
          <w:lang w:val="en-US"/>
        </w:rPr>
      </w:pPr>
    </w:p>
    <w:p w14:paraId="6C06DAAA" w14:textId="77777777" w:rsidR="00A71295" w:rsidRPr="00E431E0" w:rsidRDefault="00A71295" w:rsidP="00A71295">
      <w:pPr>
        <w:pStyle w:val="Default"/>
        <w:rPr>
          <w:sz w:val="20"/>
          <w:szCs w:val="20"/>
          <w:lang w:val="en-US"/>
        </w:rPr>
      </w:pPr>
    </w:p>
    <w:p w14:paraId="5DFF9DCC" w14:textId="77777777" w:rsidR="00A71295" w:rsidRPr="00E431E0" w:rsidRDefault="00A71295" w:rsidP="00A71295">
      <w:pPr>
        <w:pStyle w:val="Default"/>
        <w:rPr>
          <w:sz w:val="20"/>
          <w:szCs w:val="20"/>
          <w:lang w:val="en-US"/>
        </w:rPr>
      </w:pPr>
    </w:p>
    <w:p w14:paraId="325586A2" w14:textId="77777777" w:rsidR="0033328C" w:rsidRPr="00E431E0" w:rsidRDefault="0033328C" w:rsidP="00BB29A2">
      <w:pPr>
        <w:pStyle w:val="NoSpacing"/>
        <w:jc w:val="center"/>
        <w:rPr>
          <w:sz w:val="72"/>
          <w:lang w:val="en-US"/>
        </w:rPr>
      </w:pPr>
      <w:r w:rsidRPr="00E431E0">
        <w:rPr>
          <w:sz w:val="72"/>
          <w:lang w:val="en-US"/>
        </w:rPr>
        <w:t>16ENV10 MetroRADON</w:t>
      </w:r>
    </w:p>
    <w:p w14:paraId="161AC16E" w14:textId="77777777" w:rsidR="00BB29A2" w:rsidRPr="00E431E0" w:rsidRDefault="00BB29A2" w:rsidP="00BB29A2">
      <w:pPr>
        <w:pStyle w:val="NoSpacing"/>
        <w:jc w:val="center"/>
        <w:rPr>
          <w:sz w:val="36"/>
          <w:lang w:val="en-US"/>
        </w:rPr>
      </w:pPr>
    </w:p>
    <w:p w14:paraId="1B7B64DE" w14:textId="16F96954" w:rsidR="0033328C" w:rsidRPr="00180607" w:rsidRDefault="00995E2F" w:rsidP="00BB29A2">
      <w:pPr>
        <w:pStyle w:val="NoSpacing"/>
        <w:jc w:val="center"/>
        <w:rPr>
          <w:sz w:val="40"/>
          <w:lang w:val="en-US"/>
        </w:rPr>
      </w:pPr>
      <w:r w:rsidRPr="00180607">
        <w:rPr>
          <w:sz w:val="40"/>
          <w:lang w:val="en-US"/>
        </w:rPr>
        <w:t xml:space="preserve">Activity </w:t>
      </w:r>
      <w:r w:rsidR="00BF42EB">
        <w:rPr>
          <w:sz w:val="40"/>
          <w:lang w:val="en-US"/>
        </w:rPr>
        <w:t>6.3.4</w:t>
      </w:r>
      <w:r w:rsidR="0033328C" w:rsidRPr="00180607">
        <w:rPr>
          <w:sz w:val="40"/>
          <w:lang w:val="en-US"/>
        </w:rPr>
        <w:t xml:space="preserve"> </w:t>
      </w:r>
    </w:p>
    <w:p w14:paraId="67D94C32" w14:textId="77777777" w:rsidR="00BB29A2" w:rsidRPr="00180607" w:rsidRDefault="00BB29A2" w:rsidP="00BB29A2">
      <w:pPr>
        <w:pStyle w:val="NoSpacing"/>
        <w:jc w:val="center"/>
        <w:rPr>
          <w:sz w:val="40"/>
          <w:lang w:val="en-US"/>
        </w:rPr>
      </w:pPr>
    </w:p>
    <w:p w14:paraId="26CB5BE4" w14:textId="0A54674C" w:rsidR="00BB29A2" w:rsidRPr="00180607" w:rsidRDefault="00BF42EB" w:rsidP="00BF42EB">
      <w:pPr>
        <w:jc w:val="center"/>
        <w:rPr>
          <w:lang w:val="en-US"/>
        </w:rPr>
      </w:pPr>
      <w:r>
        <w:rPr>
          <w:sz w:val="40"/>
          <w:lang w:val="en-US"/>
        </w:rPr>
        <w:t>G</w:t>
      </w:r>
      <w:r w:rsidRPr="00BF42EB">
        <w:rPr>
          <w:sz w:val="40"/>
          <w:lang w:val="en-US"/>
        </w:rPr>
        <w:t xml:space="preserve">uideline </w:t>
      </w:r>
      <w:r>
        <w:rPr>
          <w:sz w:val="40"/>
          <w:lang w:val="en-US"/>
        </w:rPr>
        <w:t>on</w:t>
      </w:r>
      <w:r w:rsidRPr="00BF42EB">
        <w:rPr>
          <w:sz w:val="40"/>
          <w:lang w:val="en-US"/>
        </w:rPr>
        <w:t xml:space="preserve"> the constituents of the chain “from primary standards to radon maps” (traceability) and the links between them</w:t>
      </w:r>
    </w:p>
    <w:p w14:paraId="6291086D" w14:textId="77777777" w:rsidR="00BB29A2" w:rsidRPr="00E431E0" w:rsidRDefault="00BB29A2" w:rsidP="00A71295">
      <w:pPr>
        <w:pStyle w:val="Default"/>
        <w:rPr>
          <w:sz w:val="20"/>
          <w:szCs w:val="20"/>
          <w:highlight w:val="yellow"/>
          <w:lang w:val="en-US"/>
        </w:rPr>
      </w:pPr>
    </w:p>
    <w:p w14:paraId="70FD2C30" w14:textId="77777777" w:rsidR="00BB29A2" w:rsidRPr="00E431E0" w:rsidRDefault="00BB29A2" w:rsidP="00A71295">
      <w:pPr>
        <w:pStyle w:val="Default"/>
        <w:rPr>
          <w:sz w:val="20"/>
          <w:szCs w:val="20"/>
          <w:highlight w:val="yellow"/>
          <w:lang w:val="en-US"/>
        </w:rPr>
      </w:pPr>
    </w:p>
    <w:p w14:paraId="3B953189" w14:textId="77777777" w:rsidR="00BB29A2" w:rsidRPr="00E431E0" w:rsidRDefault="00BB29A2" w:rsidP="00A71295">
      <w:pPr>
        <w:pStyle w:val="Default"/>
        <w:rPr>
          <w:sz w:val="20"/>
          <w:szCs w:val="20"/>
          <w:highlight w:val="yellow"/>
          <w:lang w:val="en-US"/>
        </w:rPr>
      </w:pPr>
    </w:p>
    <w:p w14:paraId="65320FF4" w14:textId="77777777" w:rsidR="00A837F6" w:rsidRDefault="00A837F6" w:rsidP="00A837F6">
      <w:pPr>
        <w:pStyle w:val="Default"/>
        <w:rPr>
          <w:sz w:val="20"/>
          <w:szCs w:val="20"/>
          <w:lang w:val="en-US"/>
        </w:rPr>
      </w:pPr>
    </w:p>
    <w:p w14:paraId="78DA1455" w14:textId="32161C55" w:rsidR="00204A7D" w:rsidRDefault="00204A7D" w:rsidP="00A71295">
      <w:pPr>
        <w:pStyle w:val="Default"/>
        <w:rPr>
          <w:sz w:val="20"/>
          <w:szCs w:val="20"/>
          <w:highlight w:val="yellow"/>
          <w:lang w:val="en-US"/>
        </w:rPr>
      </w:pPr>
    </w:p>
    <w:p w14:paraId="2CFAE6E5" w14:textId="19E2E134" w:rsidR="00A837F6" w:rsidRDefault="00A837F6" w:rsidP="00A71295">
      <w:pPr>
        <w:pStyle w:val="Default"/>
        <w:rPr>
          <w:sz w:val="20"/>
          <w:szCs w:val="20"/>
          <w:lang w:val="en-US"/>
        </w:rPr>
      </w:pPr>
    </w:p>
    <w:p w14:paraId="7600E573" w14:textId="41B1913D" w:rsidR="003B3418" w:rsidRDefault="00A837F6" w:rsidP="00A71295">
      <w:pPr>
        <w:pStyle w:val="Default"/>
        <w:rPr>
          <w:b/>
          <w:sz w:val="20"/>
          <w:szCs w:val="20"/>
          <w:lang w:val="en-US"/>
        </w:rPr>
      </w:pPr>
      <w:r w:rsidRPr="003B3418">
        <w:rPr>
          <w:b/>
          <w:sz w:val="20"/>
          <w:szCs w:val="20"/>
          <w:lang w:val="en-US"/>
        </w:rPr>
        <w:t>Authors:</w:t>
      </w:r>
      <w:r w:rsidR="008B705D" w:rsidRPr="003B3418">
        <w:rPr>
          <w:b/>
          <w:sz w:val="20"/>
          <w:szCs w:val="20"/>
          <w:lang w:val="en-US"/>
        </w:rPr>
        <w:t xml:space="preserve"> </w:t>
      </w:r>
    </w:p>
    <w:p w14:paraId="7D2E3AAC" w14:textId="00DD5BF0" w:rsidR="002B5E27" w:rsidRDefault="003B3418" w:rsidP="003B3418">
      <w:pPr>
        <w:pStyle w:val="Default"/>
        <w:spacing w:before="120"/>
        <w:rPr>
          <w:sz w:val="20"/>
          <w:szCs w:val="20"/>
          <w:lang w:val="en-US"/>
        </w:rPr>
      </w:pPr>
      <w:r>
        <w:rPr>
          <w:sz w:val="20"/>
          <w:szCs w:val="20"/>
          <w:lang w:val="en-US"/>
        </w:rPr>
        <w:t>T</w:t>
      </w:r>
      <w:r w:rsidR="002B5E27">
        <w:rPr>
          <w:sz w:val="20"/>
          <w:szCs w:val="20"/>
          <w:lang w:val="en-US"/>
        </w:rPr>
        <w:t>homas Beck</w:t>
      </w:r>
      <w:r>
        <w:rPr>
          <w:sz w:val="20"/>
          <w:szCs w:val="20"/>
          <w:lang w:val="en-US"/>
        </w:rPr>
        <w:t xml:space="preserve">, </w:t>
      </w:r>
      <w:r w:rsidRPr="003B3418">
        <w:rPr>
          <w:sz w:val="20"/>
          <w:szCs w:val="20"/>
          <w:lang w:val="en-US"/>
        </w:rPr>
        <w:t>German Federal Office for Radiatio</w:t>
      </w:r>
      <w:r>
        <w:rPr>
          <w:sz w:val="20"/>
          <w:szCs w:val="20"/>
          <w:lang w:val="en-US"/>
        </w:rPr>
        <w:t xml:space="preserve">n Protection, Berlin, Germany - </w:t>
      </w:r>
      <w:r w:rsidRPr="003B3418">
        <w:rPr>
          <w:sz w:val="20"/>
          <w:szCs w:val="20"/>
          <w:lang w:val="en-US"/>
        </w:rPr>
        <w:t>BfS</w:t>
      </w:r>
      <w:r w:rsidRPr="003B3418" w:rsidDel="003B3418">
        <w:rPr>
          <w:sz w:val="20"/>
          <w:szCs w:val="20"/>
          <w:lang w:val="en-US"/>
        </w:rPr>
        <w:t xml:space="preserve"> </w:t>
      </w:r>
    </w:p>
    <w:p w14:paraId="5466C451" w14:textId="77777777" w:rsidR="00E72654" w:rsidRPr="00582E85" w:rsidRDefault="00E72654" w:rsidP="00E72654">
      <w:pPr>
        <w:pStyle w:val="Default"/>
        <w:spacing w:before="120"/>
        <w:rPr>
          <w:sz w:val="20"/>
          <w:szCs w:val="20"/>
          <w:lang w:val="de-DE"/>
        </w:rPr>
      </w:pPr>
      <w:r w:rsidRPr="00582E85">
        <w:rPr>
          <w:sz w:val="20"/>
          <w:szCs w:val="20"/>
          <w:lang w:val="de-DE"/>
        </w:rPr>
        <w:t>Valeria Gruber, Österreichische Agentur für Gesundheit und Ernährungssicherheit GmbH, Austria - AGES</w:t>
      </w:r>
    </w:p>
    <w:p w14:paraId="1DC53B3D" w14:textId="77777777" w:rsidR="00E72654" w:rsidRPr="00582E85" w:rsidRDefault="00E72654" w:rsidP="00E72654">
      <w:pPr>
        <w:pStyle w:val="Default"/>
        <w:spacing w:before="120"/>
        <w:rPr>
          <w:sz w:val="20"/>
          <w:szCs w:val="20"/>
          <w:lang w:val="de-DE"/>
        </w:rPr>
      </w:pPr>
      <w:r w:rsidRPr="00582E85">
        <w:rPr>
          <w:sz w:val="20"/>
          <w:szCs w:val="20"/>
          <w:lang w:val="de-DE"/>
        </w:rPr>
        <w:t xml:space="preserve">Monika Mazanova, Czech Metrology Institute - CMI </w:t>
      </w:r>
    </w:p>
    <w:p w14:paraId="71131CD7" w14:textId="30C17D13" w:rsidR="002B5E27" w:rsidRPr="00582E85" w:rsidRDefault="002B5E27" w:rsidP="003B3418">
      <w:pPr>
        <w:pStyle w:val="Default"/>
        <w:spacing w:before="120"/>
        <w:rPr>
          <w:sz w:val="20"/>
          <w:szCs w:val="20"/>
          <w:lang w:val="de-DE"/>
        </w:rPr>
      </w:pPr>
      <w:r w:rsidRPr="00582E85">
        <w:rPr>
          <w:sz w:val="20"/>
          <w:szCs w:val="20"/>
          <w:lang w:val="de-DE"/>
        </w:rPr>
        <w:t>Dobromir Pressyanov</w:t>
      </w:r>
      <w:r w:rsidR="003B3418" w:rsidRPr="00582E85">
        <w:rPr>
          <w:sz w:val="20"/>
          <w:szCs w:val="20"/>
          <w:lang w:val="de-DE"/>
        </w:rPr>
        <w:t>, Sofiiski Universitet Sveti Kliment Ohridski, Bulgaria - SUBG</w:t>
      </w:r>
    </w:p>
    <w:p w14:paraId="360F9DDE" w14:textId="77777777" w:rsidR="00E72654" w:rsidRPr="00582E85" w:rsidRDefault="00E72654" w:rsidP="00E72654">
      <w:pPr>
        <w:pStyle w:val="Default"/>
        <w:spacing w:before="120"/>
        <w:rPr>
          <w:sz w:val="20"/>
          <w:szCs w:val="20"/>
          <w:lang w:val="de-DE"/>
        </w:rPr>
      </w:pPr>
      <w:r w:rsidRPr="00582E85">
        <w:rPr>
          <w:sz w:val="20"/>
          <w:szCs w:val="20"/>
          <w:lang w:val="de-DE"/>
        </w:rPr>
        <w:t>Stefan Röttger, Physikalisch-Technische Bundesanstalt, Braunschweig, Germany - PTB</w:t>
      </w:r>
    </w:p>
    <w:p w14:paraId="7F1CC22E" w14:textId="6D838965" w:rsidR="002B5E27" w:rsidRPr="00582E85" w:rsidRDefault="002B5E27" w:rsidP="00A71295">
      <w:pPr>
        <w:pStyle w:val="Default"/>
        <w:rPr>
          <w:sz w:val="20"/>
          <w:szCs w:val="20"/>
          <w:lang w:val="de-DE"/>
        </w:rPr>
      </w:pPr>
      <w:r w:rsidRPr="00582E85">
        <w:rPr>
          <w:sz w:val="20"/>
          <w:szCs w:val="20"/>
          <w:lang w:val="de-DE"/>
        </w:rPr>
        <w:t xml:space="preserve">              </w:t>
      </w:r>
    </w:p>
    <w:p w14:paraId="6F7E1E96" w14:textId="712D69AC" w:rsidR="003B3418" w:rsidRDefault="002B5E27" w:rsidP="003B3418">
      <w:pPr>
        <w:pStyle w:val="Default"/>
        <w:rPr>
          <w:sz w:val="20"/>
          <w:szCs w:val="20"/>
          <w:lang w:val="en-US"/>
        </w:rPr>
      </w:pPr>
      <w:r w:rsidRPr="00582E85">
        <w:rPr>
          <w:sz w:val="20"/>
          <w:lang w:val="de-DE"/>
        </w:rPr>
        <w:t xml:space="preserve">               </w:t>
      </w:r>
      <w:r w:rsidR="003B3418" w:rsidRPr="00A14880">
        <w:rPr>
          <w:sz w:val="20"/>
          <w:szCs w:val="20"/>
          <w:u w:val="single"/>
          <w:lang w:val="en-US"/>
        </w:rPr>
        <w:t>Lead organisation</w:t>
      </w:r>
      <w:r w:rsidR="003B3418">
        <w:rPr>
          <w:sz w:val="20"/>
          <w:szCs w:val="20"/>
          <w:lang w:val="en-US"/>
        </w:rPr>
        <w:t xml:space="preserve">: </w:t>
      </w:r>
      <w:r w:rsidR="003B3418" w:rsidRPr="003B3418">
        <w:rPr>
          <w:sz w:val="20"/>
          <w:szCs w:val="20"/>
          <w:lang w:val="en-US"/>
        </w:rPr>
        <w:t>European Commission, Joint Research Centre, Ispra, Italy – JRC</w:t>
      </w:r>
    </w:p>
    <w:p w14:paraId="546855D4" w14:textId="77777777" w:rsidR="003B3418" w:rsidRPr="00E431E0" w:rsidRDefault="003B3418" w:rsidP="003B3418">
      <w:pPr>
        <w:pStyle w:val="Default"/>
        <w:rPr>
          <w:sz w:val="20"/>
          <w:szCs w:val="20"/>
          <w:highlight w:val="yellow"/>
          <w:lang w:val="en-US"/>
        </w:rPr>
      </w:pPr>
    </w:p>
    <w:p w14:paraId="641DAA8A" w14:textId="5A881193" w:rsidR="008B705D" w:rsidRPr="003B3418" w:rsidRDefault="008B705D" w:rsidP="00A71295">
      <w:pPr>
        <w:pStyle w:val="Default"/>
        <w:rPr>
          <w:sz w:val="20"/>
          <w:szCs w:val="20"/>
          <w:lang w:val="en-GB"/>
        </w:rPr>
      </w:pPr>
      <w:r w:rsidRPr="003B3418">
        <w:rPr>
          <w:sz w:val="20"/>
          <w:szCs w:val="20"/>
          <w:lang w:val="en-GB"/>
        </w:rPr>
        <w:t xml:space="preserve">              </w:t>
      </w:r>
    </w:p>
    <w:p w14:paraId="69C8F285" w14:textId="77777777" w:rsidR="00A837F6" w:rsidRPr="003B3418" w:rsidRDefault="00A837F6" w:rsidP="00A71295">
      <w:pPr>
        <w:pStyle w:val="Default"/>
        <w:rPr>
          <w:sz w:val="20"/>
          <w:szCs w:val="20"/>
          <w:lang w:val="en-GB"/>
        </w:rPr>
      </w:pPr>
    </w:p>
    <w:p w14:paraId="614B0833" w14:textId="5723556E" w:rsidR="00204A7D" w:rsidRPr="003B3418" w:rsidRDefault="00204A7D" w:rsidP="00A71295">
      <w:pPr>
        <w:pStyle w:val="Default"/>
        <w:rPr>
          <w:sz w:val="20"/>
          <w:szCs w:val="20"/>
          <w:lang w:val="en-GB"/>
        </w:rPr>
      </w:pPr>
    </w:p>
    <w:p w14:paraId="01913F1F" w14:textId="04A57ECA" w:rsidR="00233567" w:rsidRPr="003B3418" w:rsidRDefault="00233567" w:rsidP="00A71295">
      <w:pPr>
        <w:pStyle w:val="Default"/>
        <w:rPr>
          <w:sz w:val="20"/>
          <w:szCs w:val="20"/>
          <w:lang w:val="en-GB"/>
        </w:rPr>
      </w:pPr>
    </w:p>
    <w:p w14:paraId="5BFDB617" w14:textId="77777777" w:rsidR="00233567" w:rsidRPr="003B3418" w:rsidRDefault="00233567" w:rsidP="00A71295">
      <w:pPr>
        <w:pStyle w:val="Default"/>
        <w:rPr>
          <w:sz w:val="20"/>
          <w:szCs w:val="20"/>
          <w:highlight w:val="yellow"/>
          <w:lang w:val="en-GB"/>
        </w:rPr>
      </w:pPr>
    </w:p>
    <w:p w14:paraId="1686682B" w14:textId="77777777" w:rsidR="00204A7D" w:rsidRPr="003B3418" w:rsidRDefault="00204A7D" w:rsidP="00A71295">
      <w:pPr>
        <w:pStyle w:val="Default"/>
        <w:rPr>
          <w:sz w:val="20"/>
          <w:szCs w:val="20"/>
          <w:highlight w:val="yellow"/>
          <w:lang w:val="en-GB"/>
        </w:rPr>
      </w:pPr>
    </w:p>
    <w:p w14:paraId="213A0BAD" w14:textId="66F29A53" w:rsidR="00DB5F48" w:rsidRPr="003B3418" w:rsidRDefault="00DB5F48" w:rsidP="00A71295">
      <w:pPr>
        <w:pStyle w:val="Default"/>
        <w:rPr>
          <w:sz w:val="20"/>
          <w:szCs w:val="20"/>
          <w:lang w:val="en-GB"/>
        </w:rPr>
      </w:pPr>
    </w:p>
    <w:p w14:paraId="4222E938" w14:textId="2A5C2DBE" w:rsidR="00DB5F48" w:rsidRPr="003B3418" w:rsidRDefault="00DB5F48" w:rsidP="00A71295">
      <w:pPr>
        <w:pStyle w:val="Default"/>
        <w:rPr>
          <w:sz w:val="20"/>
          <w:szCs w:val="20"/>
          <w:lang w:val="en-GB"/>
        </w:rPr>
      </w:pPr>
    </w:p>
    <w:p w14:paraId="2D5393A9" w14:textId="77777777" w:rsidR="00DB5F48" w:rsidRPr="003B3418" w:rsidRDefault="00DB5F48" w:rsidP="00A71295">
      <w:pPr>
        <w:pStyle w:val="Default"/>
        <w:rPr>
          <w:sz w:val="20"/>
          <w:szCs w:val="20"/>
          <w:lang w:val="en-GB"/>
        </w:rPr>
      </w:pPr>
    </w:p>
    <w:p w14:paraId="49171A87" w14:textId="3EB25E64" w:rsidR="00204A7D" w:rsidRPr="003B3418" w:rsidRDefault="00DB5F48" w:rsidP="00A71295">
      <w:pPr>
        <w:pStyle w:val="Default"/>
        <w:rPr>
          <w:sz w:val="20"/>
          <w:szCs w:val="20"/>
          <w:highlight w:val="yellow"/>
          <w:lang w:val="en-GB"/>
        </w:rPr>
      </w:pPr>
      <w:r>
        <w:rPr>
          <w:noProof/>
          <w:sz w:val="20"/>
          <w:lang w:val="fr-FR" w:eastAsia="fr-FR"/>
        </w:rPr>
        <w:lastRenderedPageBreak/>
        <w:drawing>
          <wp:anchor distT="0" distB="0" distL="114300" distR="114300" simplePos="0" relativeHeight="251658240" behindDoc="1" locked="0" layoutInCell="1" allowOverlap="1" wp14:anchorId="4FE1E40D" wp14:editId="62F6563A">
            <wp:simplePos x="0" y="0"/>
            <wp:positionH relativeFrom="column">
              <wp:posOffset>141605</wp:posOffset>
            </wp:positionH>
            <wp:positionV relativeFrom="paragraph">
              <wp:posOffset>167640</wp:posOffset>
            </wp:positionV>
            <wp:extent cx="6304280" cy="1644650"/>
            <wp:effectExtent l="0" t="0" r="1270" b="0"/>
            <wp:wrapTight wrapText="bothSides">
              <wp:wrapPolygon edited="0">
                <wp:start x="0" y="0"/>
                <wp:lineTo x="0" y="21266"/>
                <wp:lineTo x="21539" y="21266"/>
                <wp:lineTo x="2153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IR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04280" cy="1644650"/>
                    </a:xfrm>
                    <a:prstGeom prst="rect">
                      <a:avLst/>
                    </a:prstGeom>
                  </pic:spPr>
                </pic:pic>
              </a:graphicData>
            </a:graphic>
            <wp14:sizeRelH relativeFrom="page">
              <wp14:pctWidth>0</wp14:pctWidth>
            </wp14:sizeRelH>
            <wp14:sizeRelV relativeFrom="page">
              <wp14:pctHeight>0</wp14:pctHeight>
            </wp14:sizeRelV>
          </wp:anchor>
        </w:drawing>
      </w:r>
    </w:p>
    <w:sdt>
      <w:sdtPr>
        <w:rPr>
          <w:b/>
          <w:bCs/>
          <w:lang w:val="de-DE"/>
        </w:rPr>
        <w:id w:val="679942074"/>
        <w:docPartObj>
          <w:docPartGallery w:val="Table of Contents"/>
          <w:docPartUnique/>
        </w:docPartObj>
      </w:sdtPr>
      <w:sdtEndPr>
        <w:rPr>
          <w:b w:val="0"/>
          <w:bCs w:val="0"/>
        </w:rPr>
      </w:sdtEndPr>
      <w:sdtContent>
        <w:p w14:paraId="63E37D1A" w14:textId="77777777" w:rsidR="004318BA" w:rsidRDefault="004318BA" w:rsidP="00FC3970">
          <w:pPr>
            <w:rPr>
              <w:b/>
              <w:bCs/>
              <w:lang w:val="de-DE"/>
            </w:rPr>
          </w:pPr>
        </w:p>
        <w:p w14:paraId="451EE10A" w14:textId="0412E4E3" w:rsidR="00FC3970" w:rsidRPr="00180607" w:rsidRDefault="00FC3970" w:rsidP="00FC3970">
          <w:pPr>
            <w:rPr>
              <w:b/>
              <w:bCs/>
              <w:lang w:val="en-GB"/>
            </w:rPr>
          </w:pPr>
          <w:r w:rsidRPr="00180607">
            <w:rPr>
              <w:b/>
              <w:lang w:val="en-GB"/>
            </w:rPr>
            <w:t>Table of contents</w:t>
          </w:r>
        </w:p>
        <w:p w14:paraId="25903099" w14:textId="2C4AB404" w:rsidR="00582E85" w:rsidRDefault="00FC3970">
          <w:pPr>
            <w:pStyle w:val="TOC1"/>
            <w:rPr>
              <w:rFonts w:asciiTheme="minorHAnsi" w:eastAsiaTheme="minorEastAsia" w:hAnsiTheme="minorHAnsi" w:cstheme="minorBidi"/>
              <w:b w:val="0"/>
              <w:szCs w:val="22"/>
              <w:lang w:val="fr-FR" w:eastAsia="fr-FR"/>
            </w:rPr>
          </w:pPr>
          <w:r>
            <w:fldChar w:fldCharType="begin"/>
          </w:r>
          <w:r>
            <w:instrText xml:space="preserve"> TOC \o "1-3" \h \z \u </w:instrText>
          </w:r>
          <w:r>
            <w:fldChar w:fldCharType="separate"/>
          </w:r>
          <w:hyperlink w:anchor="_Toc58936330" w:history="1">
            <w:r w:rsidR="00582E85" w:rsidRPr="00FE3BBE">
              <w:rPr>
                <w:rStyle w:val="Hyperlink"/>
                <w:lang w:val="en-US"/>
              </w:rPr>
              <w:t>1. Introduction</w:t>
            </w:r>
            <w:r w:rsidR="00582E85">
              <w:rPr>
                <w:webHidden/>
              </w:rPr>
              <w:tab/>
            </w:r>
            <w:r w:rsidR="00582E85">
              <w:rPr>
                <w:webHidden/>
              </w:rPr>
              <w:fldChar w:fldCharType="begin"/>
            </w:r>
            <w:r w:rsidR="00582E85">
              <w:rPr>
                <w:webHidden/>
              </w:rPr>
              <w:instrText xml:space="preserve"> PAGEREF _Toc58936330 \h </w:instrText>
            </w:r>
            <w:r w:rsidR="00582E85">
              <w:rPr>
                <w:webHidden/>
              </w:rPr>
            </w:r>
            <w:r w:rsidR="00582E85">
              <w:rPr>
                <w:webHidden/>
              </w:rPr>
              <w:fldChar w:fldCharType="separate"/>
            </w:r>
            <w:r w:rsidR="00582E85">
              <w:rPr>
                <w:webHidden/>
              </w:rPr>
              <w:t>3</w:t>
            </w:r>
            <w:r w:rsidR="00582E85">
              <w:rPr>
                <w:webHidden/>
              </w:rPr>
              <w:fldChar w:fldCharType="end"/>
            </w:r>
          </w:hyperlink>
        </w:p>
        <w:p w14:paraId="27A51E2C" w14:textId="7C6B5FD6" w:rsidR="00582E85" w:rsidRDefault="00DE6656">
          <w:pPr>
            <w:pStyle w:val="TOC1"/>
            <w:rPr>
              <w:rFonts w:asciiTheme="minorHAnsi" w:eastAsiaTheme="minorEastAsia" w:hAnsiTheme="minorHAnsi" w:cstheme="minorBidi"/>
              <w:b w:val="0"/>
              <w:szCs w:val="22"/>
              <w:lang w:val="fr-FR" w:eastAsia="fr-FR"/>
            </w:rPr>
          </w:pPr>
          <w:hyperlink w:anchor="_Toc58936331" w:history="1">
            <w:r w:rsidR="00582E85" w:rsidRPr="00FE3BBE">
              <w:rPr>
                <w:rStyle w:val="Hyperlink"/>
                <w:lang w:val="en-US"/>
              </w:rPr>
              <w:t xml:space="preserve">2. Development of </w:t>
            </w:r>
            <w:r w:rsidR="00582E85" w:rsidRPr="00FE3BBE">
              <w:rPr>
                <w:rStyle w:val="Hyperlink"/>
                <w:vertAlign w:val="superscript"/>
                <w:lang w:val="en-US"/>
              </w:rPr>
              <w:t>222</w:t>
            </w:r>
            <w:r w:rsidR="00582E85" w:rsidRPr="00FE3BBE">
              <w:rPr>
                <w:rStyle w:val="Hyperlink"/>
                <w:lang w:val="en-US"/>
              </w:rPr>
              <w:t xml:space="preserve">Rn and </w:t>
            </w:r>
            <w:r w:rsidR="00582E85" w:rsidRPr="00FE3BBE">
              <w:rPr>
                <w:rStyle w:val="Hyperlink"/>
                <w:vertAlign w:val="superscript"/>
                <w:lang w:val="en-US"/>
              </w:rPr>
              <w:t>220</w:t>
            </w:r>
            <w:r w:rsidR="00582E85" w:rsidRPr="00FE3BBE">
              <w:rPr>
                <w:rStyle w:val="Hyperlink"/>
                <w:lang w:val="en-US"/>
              </w:rPr>
              <w:t>Rn emanation source</w:t>
            </w:r>
            <w:r w:rsidR="00582E85">
              <w:rPr>
                <w:webHidden/>
              </w:rPr>
              <w:tab/>
            </w:r>
            <w:r w:rsidR="00582E85">
              <w:rPr>
                <w:webHidden/>
              </w:rPr>
              <w:fldChar w:fldCharType="begin"/>
            </w:r>
            <w:r w:rsidR="00582E85">
              <w:rPr>
                <w:webHidden/>
              </w:rPr>
              <w:instrText xml:space="preserve"> PAGEREF _Toc58936331 \h </w:instrText>
            </w:r>
            <w:r w:rsidR="00582E85">
              <w:rPr>
                <w:webHidden/>
              </w:rPr>
            </w:r>
            <w:r w:rsidR="00582E85">
              <w:rPr>
                <w:webHidden/>
              </w:rPr>
              <w:fldChar w:fldCharType="separate"/>
            </w:r>
            <w:r w:rsidR="00582E85">
              <w:rPr>
                <w:webHidden/>
              </w:rPr>
              <w:t>4</w:t>
            </w:r>
            <w:r w:rsidR="00582E85">
              <w:rPr>
                <w:webHidden/>
              </w:rPr>
              <w:fldChar w:fldCharType="end"/>
            </w:r>
          </w:hyperlink>
        </w:p>
        <w:p w14:paraId="0483477E" w14:textId="2F344B72" w:rsidR="00582E85" w:rsidRDefault="00DE6656">
          <w:pPr>
            <w:pStyle w:val="TOC1"/>
            <w:rPr>
              <w:rFonts w:asciiTheme="minorHAnsi" w:eastAsiaTheme="minorEastAsia" w:hAnsiTheme="minorHAnsi" w:cstheme="minorBidi"/>
              <w:b w:val="0"/>
              <w:szCs w:val="22"/>
              <w:lang w:val="fr-FR" w:eastAsia="fr-FR"/>
            </w:rPr>
          </w:pPr>
          <w:hyperlink w:anchor="_Toc58936332" w:history="1">
            <w:r w:rsidR="00582E85" w:rsidRPr="00FE3BBE">
              <w:rPr>
                <w:rStyle w:val="Hyperlink"/>
                <w:lang w:val="en-US"/>
              </w:rPr>
              <w:t>3. Procedures for the calibration of radon measurement instruments at low activity concentrations</w:t>
            </w:r>
            <w:r w:rsidR="00582E85">
              <w:rPr>
                <w:webHidden/>
              </w:rPr>
              <w:tab/>
            </w:r>
            <w:r w:rsidR="00582E85">
              <w:rPr>
                <w:webHidden/>
              </w:rPr>
              <w:fldChar w:fldCharType="begin"/>
            </w:r>
            <w:r w:rsidR="00582E85">
              <w:rPr>
                <w:webHidden/>
              </w:rPr>
              <w:instrText xml:space="preserve"> PAGEREF _Toc58936332 \h </w:instrText>
            </w:r>
            <w:r w:rsidR="00582E85">
              <w:rPr>
                <w:webHidden/>
              </w:rPr>
            </w:r>
            <w:r w:rsidR="00582E85">
              <w:rPr>
                <w:webHidden/>
              </w:rPr>
              <w:fldChar w:fldCharType="separate"/>
            </w:r>
            <w:r w:rsidR="00582E85">
              <w:rPr>
                <w:webHidden/>
              </w:rPr>
              <w:t>6</w:t>
            </w:r>
            <w:r w:rsidR="00582E85">
              <w:rPr>
                <w:webHidden/>
              </w:rPr>
              <w:fldChar w:fldCharType="end"/>
            </w:r>
          </w:hyperlink>
        </w:p>
        <w:p w14:paraId="3B5A6785" w14:textId="3907FEC6" w:rsidR="00582E85" w:rsidRDefault="00DE6656">
          <w:pPr>
            <w:pStyle w:val="TOC2"/>
            <w:tabs>
              <w:tab w:val="right" w:leader="dot" w:pos="9918"/>
            </w:tabs>
            <w:rPr>
              <w:rFonts w:asciiTheme="minorHAnsi" w:eastAsiaTheme="minorEastAsia" w:hAnsiTheme="minorHAnsi" w:cstheme="minorBidi"/>
              <w:noProof/>
              <w:szCs w:val="22"/>
              <w:lang w:val="fr-FR" w:eastAsia="fr-FR"/>
            </w:rPr>
          </w:pPr>
          <w:hyperlink w:anchor="_Toc58936333" w:history="1">
            <w:r w:rsidR="00582E85" w:rsidRPr="00FE3BBE">
              <w:rPr>
                <w:rStyle w:val="Hyperlink"/>
                <w:noProof/>
                <w:lang w:val="en-US"/>
              </w:rPr>
              <w:t>3.1 Technical equipment and accessories</w:t>
            </w:r>
            <w:r w:rsidR="00582E85">
              <w:rPr>
                <w:noProof/>
                <w:webHidden/>
              </w:rPr>
              <w:tab/>
            </w:r>
            <w:r w:rsidR="00582E85">
              <w:rPr>
                <w:noProof/>
                <w:webHidden/>
              </w:rPr>
              <w:fldChar w:fldCharType="begin"/>
            </w:r>
            <w:r w:rsidR="00582E85">
              <w:rPr>
                <w:noProof/>
                <w:webHidden/>
              </w:rPr>
              <w:instrText xml:space="preserve"> PAGEREF _Toc58936333 \h </w:instrText>
            </w:r>
            <w:r w:rsidR="00582E85">
              <w:rPr>
                <w:noProof/>
                <w:webHidden/>
              </w:rPr>
            </w:r>
            <w:r w:rsidR="00582E85">
              <w:rPr>
                <w:noProof/>
                <w:webHidden/>
              </w:rPr>
              <w:fldChar w:fldCharType="separate"/>
            </w:r>
            <w:r w:rsidR="00582E85">
              <w:rPr>
                <w:noProof/>
                <w:webHidden/>
              </w:rPr>
              <w:t>6</w:t>
            </w:r>
            <w:r w:rsidR="00582E85">
              <w:rPr>
                <w:noProof/>
                <w:webHidden/>
              </w:rPr>
              <w:fldChar w:fldCharType="end"/>
            </w:r>
          </w:hyperlink>
        </w:p>
        <w:p w14:paraId="16421C61" w14:textId="0D65B278" w:rsidR="00582E85" w:rsidRDefault="00DE6656">
          <w:pPr>
            <w:pStyle w:val="TOC2"/>
            <w:tabs>
              <w:tab w:val="right" w:leader="dot" w:pos="9918"/>
            </w:tabs>
            <w:rPr>
              <w:rFonts w:asciiTheme="minorHAnsi" w:eastAsiaTheme="minorEastAsia" w:hAnsiTheme="minorHAnsi" w:cstheme="minorBidi"/>
              <w:noProof/>
              <w:szCs w:val="22"/>
              <w:lang w:val="fr-FR" w:eastAsia="fr-FR"/>
            </w:rPr>
          </w:pPr>
          <w:hyperlink w:anchor="_Toc58936334" w:history="1">
            <w:r w:rsidR="00582E85" w:rsidRPr="00FE3BBE">
              <w:rPr>
                <w:rStyle w:val="Hyperlink"/>
                <w:rFonts w:eastAsiaTheme="majorEastAsia" w:cstheme="majorBidi"/>
                <w:b/>
                <w:bCs/>
                <w:noProof/>
                <w:lang w:val="en-US"/>
              </w:rPr>
              <w:t>3.2 Sources and supply of radon</w:t>
            </w:r>
            <w:r w:rsidR="00582E85">
              <w:rPr>
                <w:noProof/>
                <w:webHidden/>
              </w:rPr>
              <w:tab/>
            </w:r>
            <w:r w:rsidR="00582E85">
              <w:rPr>
                <w:noProof/>
                <w:webHidden/>
              </w:rPr>
              <w:fldChar w:fldCharType="begin"/>
            </w:r>
            <w:r w:rsidR="00582E85">
              <w:rPr>
                <w:noProof/>
                <w:webHidden/>
              </w:rPr>
              <w:instrText xml:space="preserve"> PAGEREF _Toc58936334 \h </w:instrText>
            </w:r>
            <w:r w:rsidR="00582E85">
              <w:rPr>
                <w:noProof/>
                <w:webHidden/>
              </w:rPr>
            </w:r>
            <w:r w:rsidR="00582E85">
              <w:rPr>
                <w:noProof/>
                <w:webHidden/>
              </w:rPr>
              <w:fldChar w:fldCharType="separate"/>
            </w:r>
            <w:r w:rsidR="00582E85">
              <w:rPr>
                <w:noProof/>
                <w:webHidden/>
              </w:rPr>
              <w:t>7</w:t>
            </w:r>
            <w:r w:rsidR="00582E85">
              <w:rPr>
                <w:noProof/>
                <w:webHidden/>
              </w:rPr>
              <w:fldChar w:fldCharType="end"/>
            </w:r>
          </w:hyperlink>
        </w:p>
        <w:p w14:paraId="01477E86" w14:textId="3A2CC644" w:rsidR="00582E85" w:rsidRDefault="00DE6656">
          <w:pPr>
            <w:pStyle w:val="TOC2"/>
            <w:tabs>
              <w:tab w:val="right" w:leader="dot" w:pos="9918"/>
            </w:tabs>
            <w:rPr>
              <w:rFonts w:asciiTheme="minorHAnsi" w:eastAsiaTheme="minorEastAsia" w:hAnsiTheme="minorHAnsi" w:cstheme="minorBidi"/>
              <w:noProof/>
              <w:szCs w:val="22"/>
              <w:lang w:val="fr-FR" w:eastAsia="fr-FR"/>
            </w:rPr>
          </w:pPr>
          <w:hyperlink w:anchor="_Toc58936335" w:history="1">
            <w:r w:rsidR="00582E85" w:rsidRPr="00FE3BBE">
              <w:rPr>
                <w:rStyle w:val="Hyperlink"/>
                <w:rFonts w:eastAsiaTheme="majorEastAsia" w:cstheme="majorBidi"/>
                <w:b/>
                <w:bCs/>
                <w:noProof/>
                <w:lang w:val="en-US"/>
              </w:rPr>
              <w:t>3.3 Calibration object</w:t>
            </w:r>
            <w:r w:rsidR="00582E85">
              <w:rPr>
                <w:noProof/>
                <w:webHidden/>
              </w:rPr>
              <w:tab/>
            </w:r>
            <w:r w:rsidR="00582E85">
              <w:rPr>
                <w:noProof/>
                <w:webHidden/>
              </w:rPr>
              <w:fldChar w:fldCharType="begin"/>
            </w:r>
            <w:r w:rsidR="00582E85">
              <w:rPr>
                <w:noProof/>
                <w:webHidden/>
              </w:rPr>
              <w:instrText xml:space="preserve"> PAGEREF _Toc58936335 \h </w:instrText>
            </w:r>
            <w:r w:rsidR="00582E85">
              <w:rPr>
                <w:noProof/>
                <w:webHidden/>
              </w:rPr>
            </w:r>
            <w:r w:rsidR="00582E85">
              <w:rPr>
                <w:noProof/>
                <w:webHidden/>
              </w:rPr>
              <w:fldChar w:fldCharType="separate"/>
            </w:r>
            <w:r w:rsidR="00582E85">
              <w:rPr>
                <w:noProof/>
                <w:webHidden/>
              </w:rPr>
              <w:t>7</w:t>
            </w:r>
            <w:r w:rsidR="00582E85">
              <w:rPr>
                <w:noProof/>
                <w:webHidden/>
              </w:rPr>
              <w:fldChar w:fldCharType="end"/>
            </w:r>
          </w:hyperlink>
        </w:p>
        <w:p w14:paraId="2ECD8085" w14:textId="71CAC2F8" w:rsidR="00582E85" w:rsidRDefault="00DE6656">
          <w:pPr>
            <w:pStyle w:val="TOC2"/>
            <w:tabs>
              <w:tab w:val="right" w:leader="dot" w:pos="9918"/>
            </w:tabs>
            <w:rPr>
              <w:rFonts w:asciiTheme="minorHAnsi" w:eastAsiaTheme="minorEastAsia" w:hAnsiTheme="minorHAnsi" w:cstheme="minorBidi"/>
              <w:noProof/>
              <w:szCs w:val="22"/>
              <w:lang w:val="fr-FR" w:eastAsia="fr-FR"/>
            </w:rPr>
          </w:pPr>
          <w:hyperlink w:anchor="_Toc58936336" w:history="1">
            <w:r w:rsidR="00582E85" w:rsidRPr="00FE3BBE">
              <w:rPr>
                <w:rStyle w:val="Hyperlink"/>
                <w:rFonts w:eastAsiaTheme="majorEastAsia" w:cstheme="majorBidi"/>
                <w:b/>
                <w:bCs/>
                <w:noProof/>
                <w:lang w:val="en-US"/>
              </w:rPr>
              <w:t>3.4 Calibration methods and traceability</w:t>
            </w:r>
            <w:r w:rsidR="00582E85">
              <w:rPr>
                <w:noProof/>
                <w:webHidden/>
              </w:rPr>
              <w:tab/>
            </w:r>
            <w:r w:rsidR="00582E85">
              <w:rPr>
                <w:noProof/>
                <w:webHidden/>
              </w:rPr>
              <w:fldChar w:fldCharType="begin"/>
            </w:r>
            <w:r w:rsidR="00582E85">
              <w:rPr>
                <w:noProof/>
                <w:webHidden/>
              </w:rPr>
              <w:instrText xml:space="preserve"> PAGEREF _Toc58936336 \h </w:instrText>
            </w:r>
            <w:r w:rsidR="00582E85">
              <w:rPr>
                <w:noProof/>
                <w:webHidden/>
              </w:rPr>
            </w:r>
            <w:r w:rsidR="00582E85">
              <w:rPr>
                <w:noProof/>
                <w:webHidden/>
              </w:rPr>
              <w:fldChar w:fldCharType="separate"/>
            </w:r>
            <w:r w:rsidR="00582E85">
              <w:rPr>
                <w:noProof/>
                <w:webHidden/>
              </w:rPr>
              <w:t>8</w:t>
            </w:r>
            <w:r w:rsidR="00582E85">
              <w:rPr>
                <w:noProof/>
                <w:webHidden/>
              </w:rPr>
              <w:fldChar w:fldCharType="end"/>
            </w:r>
          </w:hyperlink>
        </w:p>
        <w:p w14:paraId="1CC83DBE" w14:textId="72C43DD3" w:rsidR="00582E85" w:rsidRDefault="00DE6656">
          <w:pPr>
            <w:pStyle w:val="TOC2"/>
            <w:tabs>
              <w:tab w:val="right" w:leader="dot" w:pos="9918"/>
            </w:tabs>
            <w:rPr>
              <w:rFonts w:asciiTheme="minorHAnsi" w:eastAsiaTheme="minorEastAsia" w:hAnsiTheme="minorHAnsi" w:cstheme="minorBidi"/>
              <w:noProof/>
              <w:szCs w:val="22"/>
              <w:lang w:val="fr-FR" w:eastAsia="fr-FR"/>
            </w:rPr>
          </w:pPr>
          <w:hyperlink w:anchor="_Toc58936337" w:history="1">
            <w:r w:rsidR="00582E85" w:rsidRPr="00FE3BBE">
              <w:rPr>
                <w:rStyle w:val="Hyperlink"/>
                <w:rFonts w:eastAsiaTheme="majorEastAsia" w:cstheme="majorBidi"/>
                <w:b/>
                <w:bCs/>
                <w:noProof/>
                <w:lang w:val="en-US"/>
              </w:rPr>
              <w:t>3.5 Specific requirements on the calibration procedure</w:t>
            </w:r>
            <w:r w:rsidR="00582E85">
              <w:rPr>
                <w:noProof/>
                <w:webHidden/>
              </w:rPr>
              <w:tab/>
            </w:r>
            <w:r w:rsidR="00582E85">
              <w:rPr>
                <w:noProof/>
                <w:webHidden/>
              </w:rPr>
              <w:fldChar w:fldCharType="begin"/>
            </w:r>
            <w:r w:rsidR="00582E85">
              <w:rPr>
                <w:noProof/>
                <w:webHidden/>
              </w:rPr>
              <w:instrText xml:space="preserve"> PAGEREF _Toc58936337 \h </w:instrText>
            </w:r>
            <w:r w:rsidR="00582E85">
              <w:rPr>
                <w:noProof/>
                <w:webHidden/>
              </w:rPr>
            </w:r>
            <w:r w:rsidR="00582E85">
              <w:rPr>
                <w:noProof/>
                <w:webHidden/>
              </w:rPr>
              <w:fldChar w:fldCharType="separate"/>
            </w:r>
            <w:r w:rsidR="00582E85">
              <w:rPr>
                <w:noProof/>
                <w:webHidden/>
              </w:rPr>
              <w:t>8</w:t>
            </w:r>
            <w:r w:rsidR="00582E85">
              <w:rPr>
                <w:noProof/>
                <w:webHidden/>
              </w:rPr>
              <w:fldChar w:fldCharType="end"/>
            </w:r>
          </w:hyperlink>
        </w:p>
        <w:p w14:paraId="48F575AE" w14:textId="55F28B2C" w:rsidR="00582E85" w:rsidRDefault="00DE6656">
          <w:pPr>
            <w:pStyle w:val="TOC2"/>
            <w:tabs>
              <w:tab w:val="right" w:leader="dot" w:pos="9918"/>
            </w:tabs>
            <w:rPr>
              <w:rFonts w:asciiTheme="minorHAnsi" w:eastAsiaTheme="minorEastAsia" w:hAnsiTheme="minorHAnsi" w:cstheme="minorBidi"/>
              <w:noProof/>
              <w:szCs w:val="22"/>
              <w:lang w:val="fr-FR" w:eastAsia="fr-FR"/>
            </w:rPr>
          </w:pPr>
          <w:hyperlink w:anchor="_Toc58936338" w:history="1">
            <w:r w:rsidR="00582E85" w:rsidRPr="00FE3BBE">
              <w:rPr>
                <w:rStyle w:val="Hyperlink"/>
                <w:rFonts w:eastAsiaTheme="majorEastAsia" w:cstheme="majorBidi"/>
                <w:b/>
                <w:bCs/>
                <w:noProof/>
                <w:lang w:val="en-US"/>
              </w:rPr>
              <w:t>3.6 Calibration result and certificate</w:t>
            </w:r>
            <w:r w:rsidR="00582E85">
              <w:rPr>
                <w:noProof/>
                <w:webHidden/>
              </w:rPr>
              <w:tab/>
            </w:r>
            <w:r w:rsidR="00582E85">
              <w:rPr>
                <w:noProof/>
                <w:webHidden/>
              </w:rPr>
              <w:fldChar w:fldCharType="begin"/>
            </w:r>
            <w:r w:rsidR="00582E85">
              <w:rPr>
                <w:noProof/>
                <w:webHidden/>
              </w:rPr>
              <w:instrText xml:space="preserve"> PAGEREF _Toc58936338 \h </w:instrText>
            </w:r>
            <w:r w:rsidR="00582E85">
              <w:rPr>
                <w:noProof/>
                <w:webHidden/>
              </w:rPr>
            </w:r>
            <w:r w:rsidR="00582E85">
              <w:rPr>
                <w:noProof/>
                <w:webHidden/>
              </w:rPr>
              <w:fldChar w:fldCharType="separate"/>
            </w:r>
            <w:r w:rsidR="00582E85">
              <w:rPr>
                <w:noProof/>
                <w:webHidden/>
              </w:rPr>
              <w:t>9</w:t>
            </w:r>
            <w:r w:rsidR="00582E85">
              <w:rPr>
                <w:noProof/>
                <w:webHidden/>
              </w:rPr>
              <w:fldChar w:fldCharType="end"/>
            </w:r>
          </w:hyperlink>
        </w:p>
        <w:p w14:paraId="0BB079A1" w14:textId="60E98FE3" w:rsidR="00582E85" w:rsidRDefault="00DE6656">
          <w:pPr>
            <w:pStyle w:val="TOC1"/>
            <w:rPr>
              <w:rFonts w:asciiTheme="minorHAnsi" w:eastAsiaTheme="minorEastAsia" w:hAnsiTheme="minorHAnsi" w:cstheme="minorBidi"/>
              <w:b w:val="0"/>
              <w:szCs w:val="22"/>
              <w:lang w:val="fr-FR" w:eastAsia="fr-FR"/>
            </w:rPr>
          </w:pPr>
          <w:hyperlink w:anchor="_Toc58936339" w:history="1">
            <w:r w:rsidR="00582E85" w:rsidRPr="00FE3BBE">
              <w:rPr>
                <w:rStyle w:val="Hyperlink"/>
                <w:lang w:val="en-US"/>
              </w:rPr>
              <w:t>4.</w:t>
            </w:r>
            <w:r w:rsidR="00582E85" w:rsidRPr="00FE3BBE">
              <w:rPr>
                <w:rStyle w:val="Hyperlink"/>
              </w:rPr>
              <w:t xml:space="preserve"> </w:t>
            </w:r>
            <w:r w:rsidR="00582E85" w:rsidRPr="00FE3BBE">
              <w:rPr>
                <w:rStyle w:val="Hyperlink"/>
                <w:lang w:val="en-US"/>
              </w:rPr>
              <w:t>Influence of thoron on radon monitors</w:t>
            </w:r>
            <w:r w:rsidR="00582E85">
              <w:rPr>
                <w:webHidden/>
              </w:rPr>
              <w:tab/>
            </w:r>
            <w:r w:rsidR="00582E85">
              <w:rPr>
                <w:webHidden/>
              </w:rPr>
              <w:fldChar w:fldCharType="begin"/>
            </w:r>
            <w:r w:rsidR="00582E85">
              <w:rPr>
                <w:webHidden/>
              </w:rPr>
              <w:instrText xml:space="preserve"> PAGEREF _Toc58936339 \h </w:instrText>
            </w:r>
            <w:r w:rsidR="00582E85">
              <w:rPr>
                <w:webHidden/>
              </w:rPr>
            </w:r>
            <w:r w:rsidR="00582E85">
              <w:rPr>
                <w:webHidden/>
              </w:rPr>
              <w:fldChar w:fldCharType="separate"/>
            </w:r>
            <w:r w:rsidR="00582E85">
              <w:rPr>
                <w:webHidden/>
              </w:rPr>
              <w:t>10</w:t>
            </w:r>
            <w:r w:rsidR="00582E85">
              <w:rPr>
                <w:webHidden/>
              </w:rPr>
              <w:fldChar w:fldCharType="end"/>
            </w:r>
          </w:hyperlink>
        </w:p>
        <w:p w14:paraId="0C36D661" w14:textId="50678635" w:rsidR="00582E85" w:rsidRDefault="00DE6656">
          <w:pPr>
            <w:pStyle w:val="TOC1"/>
            <w:rPr>
              <w:rFonts w:asciiTheme="minorHAnsi" w:eastAsiaTheme="minorEastAsia" w:hAnsiTheme="minorHAnsi" w:cstheme="minorBidi"/>
              <w:b w:val="0"/>
              <w:szCs w:val="22"/>
              <w:lang w:val="fr-FR" w:eastAsia="fr-FR"/>
            </w:rPr>
          </w:pPr>
          <w:hyperlink w:anchor="_Toc58936340" w:history="1">
            <w:r w:rsidR="00582E85" w:rsidRPr="00FE3BBE">
              <w:rPr>
                <w:rStyle w:val="Hyperlink"/>
                <w:lang w:val="en-US"/>
              </w:rPr>
              <w:t>6.Traceability of primary and secondary radon calibration facilities in Europe</w:t>
            </w:r>
            <w:r w:rsidR="00582E85">
              <w:rPr>
                <w:webHidden/>
              </w:rPr>
              <w:tab/>
            </w:r>
            <w:r w:rsidR="00582E85">
              <w:rPr>
                <w:webHidden/>
              </w:rPr>
              <w:fldChar w:fldCharType="begin"/>
            </w:r>
            <w:r w:rsidR="00582E85">
              <w:rPr>
                <w:webHidden/>
              </w:rPr>
              <w:instrText xml:space="preserve"> PAGEREF _Toc58936340 \h </w:instrText>
            </w:r>
            <w:r w:rsidR="00582E85">
              <w:rPr>
                <w:webHidden/>
              </w:rPr>
            </w:r>
            <w:r w:rsidR="00582E85">
              <w:rPr>
                <w:webHidden/>
              </w:rPr>
              <w:fldChar w:fldCharType="separate"/>
            </w:r>
            <w:r w:rsidR="00582E85">
              <w:rPr>
                <w:webHidden/>
              </w:rPr>
              <w:t>11</w:t>
            </w:r>
            <w:r w:rsidR="00582E85">
              <w:rPr>
                <w:webHidden/>
              </w:rPr>
              <w:fldChar w:fldCharType="end"/>
            </w:r>
          </w:hyperlink>
        </w:p>
        <w:p w14:paraId="2ECB0641" w14:textId="712996F6" w:rsidR="00582E85" w:rsidRDefault="00DE6656">
          <w:pPr>
            <w:pStyle w:val="TOC1"/>
            <w:rPr>
              <w:rFonts w:asciiTheme="minorHAnsi" w:eastAsiaTheme="minorEastAsia" w:hAnsiTheme="minorHAnsi" w:cstheme="minorBidi"/>
              <w:b w:val="0"/>
              <w:szCs w:val="22"/>
              <w:lang w:val="fr-FR" w:eastAsia="fr-FR"/>
            </w:rPr>
          </w:pPr>
          <w:hyperlink w:anchor="_Toc58936341" w:history="1">
            <w:r w:rsidR="00582E85" w:rsidRPr="00FE3BBE">
              <w:rPr>
                <w:rStyle w:val="Hyperlink"/>
                <w:lang w:val="en-US"/>
              </w:rPr>
              <w:t>References</w:t>
            </w:r>
            <w:r w:rsidR="00582E85">
              <w:rPr>
                <w:webHidden/>
              </w:rPr>
              <w:tab/>
            </w:r>
            <w:r w:rsidR="00582E85">
              <w:rPr>
                <w:webHidden/>
              </w:rPr>
              <w:fldChar w:fldCharType="begin"/>
            </w:r>
            <w:r w:rsidR="00582E85">
              <w:rPr>
                <w:webHidden/>
              </w:rPr>
              <w:instrText xml:space="preserve"> PAGEREF _Toc58936341 \h </w:instrText>
            </w:r>
            <w:r w:rsidR="00582E85">
              <w:rPr>
                <w:webHidden/>
              </w:rPr>
            </w:r>
            <w:r w:rsidR="00582E85">
              <w:rPr>
                <w:webHidden/>
              </w:rPr>
              <w:fldChar w:fldCharType="separate"/>
            </w:r>
            <w:r w:rsidR="00582E85">
              <w:rPr>
                <w:webHidden/>
              </w:rPr>
              <w:t>16</w:t>
            </w:r>
            <w:r w:rsidR="00582E85">
              <w:rPr>
                <w:webHidden/>
              </w:rPr>
              <w:fldChar w:fldCharType="end"/>
            </w:r>
          </w:hyperlink>
        </w:p>
        <w:p w14:paraId="0E9411C8" w14:textId="46BEECD3" w:rsidR="00FC3970" w:rsidRDefault="00FC3970" w:rsidP="00FC3970">
          <w:pPr>
            <w:rPr>
              <w:lang w:val="de-DE"/>
            </w:rPr>
          </w:pPr>
          <w:r>
            <w:rPr>
              <w:b/>
              <w:bCs/>
              <w:lang w:val="de-DE"/>
            </w:rPr>
            <w:fldChar w:fldCharType="end"/>
          </w:r>
        </w:p>
      </w:sdtContent>
    </w:sdt>
    <w:p w14:paraId="2B2489B2" w14:textId="426250EE" w:rsidR="002546A5" w:rsidRDefault="002546A5"/>
    <w:p w14:paraId="33C3485B" w14:textId="77777777" w:rsidR="004E7790" w:rsidRPr="00E431E0" w:rsidRDefault="004E7790" w:rsidP="004E7790">
      <w:pPr>
        <w:rPr>
          <w:lang w:val="en-US"/>
        </w:rPr>
      </w:pPr>
      <w:r w:rsidRPr="00E431E0">
        <w:rPr>
          <w:lang w:val="en-US"/>
        </w:rPr>
        <w:br w:type="page"/>
      </w:r>
    </w:p>
    <w:p w14:paraId="2EA62E9C" w14:textId="7F9F2554" w:rsidR="00FC3970" w:rsidRDefault="007D3AEA" w:rsidP="00EA647D">
      <w:pPr>
        <w:pStyle w:val="Heading1"/>
        <w:spacing w:before="480" w:after="120" w:line="360" w:lineRule="auto"/>
        <w:rPr>
          <w:lang w:val="en-US"/>
        </w:rPr>
      </w:pPr>
      <w:bookmarkStart w:id="0" w:name="_Toc58936330"/>
      <w:r>
        <w:rPr>
          <w:lang w:val="en-US"/>
        </w:rPr>
        <w:lastRenderedPageBreak/>
        <w:t xml:space="preserve">1. </w:t>
      </w:r>
      <w:r w:rsidR="00A14880">
        <w:rPr>
          <w:lang w:val="en-US"/>
        </w:rPr>
        <w:t>Introduction</w:t>
      </w:r>
      <w:bookmarkEnd w:id="0"/>
    </w:p>
    <w:p w14:paraId="57F78159" w14:textId="77777777" w:rsidR="00A14880" w:rsidRPr="00A14880" w:rsidRDefault="00A14880" w:rsidP="00A14880">
      <w:pPr>
        <w:rPr>
          <w:lang w:val="en-US"/>
        </w:rPr>
      </w:pPr>
      <w:r w:rsidRPr="00A14880">
        <w:rPr>
          <w:lang w:val="en-US"/>
        </w:rPr>
        <w:t xml:space="preserve">The purpose of the MetroRADON project, funded within the European Metrology Programme for Innovation and Research (EMPIR) is to develop reliable techniques and methodologies to enable SI traceable radon activity concentration measurements and calibrations at low radon concentrations. The need for this project has been largely motivated by the requirements of the implementation of the European Council Directive 2013/59/EURATOM (EU BSS) (EC, 2014). </w:t>
      </w:r>
    </w:p>
    <w:p w14:paraId="52886F36" w14:textId="77777777" w:rsidR="002E7E51" w:rsidRDefault="00A14880" w:rsidP="00894CF9">
      <w:pPr>
        <w:spacing w:after="100"/>
        <w:jc w:val="both"/>
        <w:rPr>
          <w:lang w:val="en-US"/>
        </w:rPr>
      </w:pPr>
      <w:r w:rsidRPr="00A14880">
        <w:rPr>
          <w:lang w:val="en-US"/>
        </w:rPr>
        <w:t>The EU-BSS evokes new challenges for metrology for radon measurements and calibrations in Europe. EU member states are required to set reference levels for radon not higher than 300 Bq/m³. Radon measurements are mandatory in workplaces and the member states need to establish national radon action plans for radon protection measures, as conducting surveys of indoor radon concentrations. This requires reliable calibration and measurement methods for low radon activity concentrations between 100 and 300 Bq/m</w:t>
      </w:r>
      <w:r w:rsidR="000F2360" w:rsidRPr="00A14880">
        <w:rPr>
          <w:lang w:val="en-US"/>
        </w:rPr>
        <w:t>³</w:t>
      </w:r>
      <w:r w:rsidR="000F2360">
        <w:rPr>
          <w:lang w:val="en-US"/>
        </w:rPr>
        <w:t xml:space="preserve">. </w:t>
      </w:r>
      <w:r w:rsidRPr="00A14880">
        <w:rPr>
          <w:lang w:val="en-US"/>
        </w:rPr>
        <w:t xml:space="preserve">Hence a significant improvement in the metrological infrastructure in Europe in the field of radon calibrations at low activity concentrations is a prerequisite in order to be able to fulfil the EU-BSS requirements. </w:t>
      </w:r>
    </w:p>
    <w:p w14:paraId="2226865A" w14:textId="157C84A6" w:rsidR="002E7E51" w:rsidRDefault="00A14880" w:rsidP="00894CF9">
      <w:pPr>
        <w:spacing w:after="100"/>
        <w:jc w:val="both"/>
        <w:rPr>
          <w:lang w:val="en-US"/>
        </w:rPr>
      </w:pPr>
      <w:r w:rsidRPr="00A14880">
        <w:rPr>
          <w:lang w:val="en-US"/>
        </w:rPr>
        <w:t xml:space="preserve">New procedures and traceable radon reference sources for the traceable calibration of radon measurement instruments at low activity concentrations with adequately low uncertainties therefore need to be developed. </w:t>
      </w:r>
      <w:r w:rsidR="009E0133">
        <w:rPr>
          <w:lang w:val="en-US"/>
        </w:rPr>
        <w:t xml:space="preserve"> Hence, the specific objective of MetroRADON project:</w:t>
      </w:r>
    </w:p>
    <w:p w14:paraId="2279DE9E" w14:textId="77777777" w:rsidR="009E0133" w:rsidRPr="00791317" w:rsidRDefault="009E0133" w:rsidP="00791317">
      <w:pPr>
        <w:pStyle w:val="ListParagraph"/>
        <w:ind w:left="0"/>
        <w:rPr>
          <w:rStyle w:val="SubtleEmphasis"/>
          <w:i w:val="0"/>
          <w:lang w:val="en-GB"/>
        </w:rPr>
      </w:pPr>
      <w:r w:rsidRPr="00791317">
        <w:rPr>
          <w:rStyle w:val="SubtleEmphasis"/>
          <w:lang w:val="en-GB"/>
        </w:rPr>
        <w:t>To develop novel procedures for the traceable calibration of radon (</w:t>
      </w:r>
      <w:r w:rsidRPr="00791317">
        <w:rPr>
          <w:rStyle w:val="SubtleEmphasis"/>
          <w:vertAlign w:val="superscript"/>
          <w:lang w:val="en-GB"/>
        </w:rPr>
        <w:t>222</w:t>
      </w:r>
      <w:r w:rsidRPr="00791317">
        <w:rPr>
          <w:rStyle w:val="SubtleEmphasis"/>
          <w:lang w:val="en-GB"/>
        </w:rPr>
        <w:t>Rn) measurement instruments at low activity concentrations (100 Bq/m</w:t>
      </w:r>
      <w:r w:rsidRPr="00791317">
        <w:rPr>
          <w:rStyle w:val="SubtleEmphasis"/>
          <w:vertAlign w:val="superscript"/>
          <w:lang w:val="en-GB"/>
        </w:rPr>
        <w:t>3</w:t>
      </w:r>
      <w:r w:rsidRPr="00791317">
        <w:rPr>
          <w:rStyle w:val="SubtleEmphasis"/>
          <w:lang w:val="en-GB"/>
        </w:rPr>
        <w:t xml:space="preserve"> to 300 Bq/m</w:t>
      </w:r>
      <w:r w:rsidRPr="00791317">
        <w:rPr>
          <w:rStyle w:val="SubtleEmphasis"/>
          <w:vertAlign w:val="superscript"/>
          <w:lang w:val="en-GB"/>
        </w:rPr>
        <w:t>3</w:t>
      </w:r>
      <w:r w:rsidRPr="00791317">
        <w:rPr>
          <w:rStyle w:val="SubtleEmphasis"/>
          <w:lang w:val="en-GB"/>
        </w:rPr>
        <w:t>) with relative uncertainties ≤ 5 % (k=1). As part of this, to develop new radioactive reference sources with stable and known radon emanation rates</w:t>
      </w:r>
      <w:r w:rsidRPr="00791317">
        <w:rPr>
          <w:rStyle w:val="SubtleEmphasis"/>
          <w:i w:val="0"/>
          <w:lang w:val="en-GB"/>
        </w:rPr>
        <w:t>.</w:t>
      </w:r>
    </w:p>
    <w:p w14:paraId="55DB8582" w14:textId="5298E3D0" w:rsidR="009E0133" w:rsidRDefault="00A14880" w:rsidP="00894CF9">
      <w:pPr>
        <w:spacing w:after="100"/>
        <w:jc w:val="both"/>
        <w:rPr>
          <w:lang w:val="en-US"/>
        </w:rPr>
      </w:pPr>
      <w:r w:rsidRPr="00A14880">
        <w:rPr>
          <w:lang w:val="en-US"/>
        </w:rPr>
        <w:t>Thoron and its progeny are known to bias the results of radon activity concentration measurements, however information about this effect is limited. Therefore, better knowledge of this effect is needed together with techniques to reduce the influence of thoron and its progeny on radon end-user measurements and calibrations.</w:t>
      </w:r>
      <w:r w:rsidR="009E0133">
        <w:rPr>
          <w:lang w:val="en-US"/>
        </w:rPr>
        <w:t xml:space="preserve"> Hence, the specific object of MetroRADON project:</w:t>
      </w:r>
    </w:p>
    <w:p w14:paraId="49B8F223" w14:textId="5EDC1FD7" w:rsidR="009E0133" w:rsidRPr="00791317" w:rsidRDefault="009E0133" w:rsidP="00894CF9">
      <w:pPr>
        <w:spacing w:after="100"/>
        <w:jc w:val="both"/>
        <w:rPr>
          <w:rStyle w:val="SubtleEmphasis"/>
          <w:lang w:val="en-GB"/>
        </w:rPr>
      </w:pPr>
      <w:r w:rsidRPr="00791317">
        <w:rPr>
          <w:rStyle w:val="SubtleEmphasis"/>
          <w:lang w:val="en-GB"/>
        </w:rPr>
        <w:t>To investigate and to reduce the influence of thoron (</w:t>
      </w:r>
      <w:r w:rsidRPr="00791317">
        <w:rPr>
          <w:rStyle w:val="SubtleEmphasis"/>
          <w:vertAlign w:val="superscript"/>
          <w:lang w:val="en-GB"/>
        </w:rPr>
        <w:t>220</w:t>
      </w:r>
      <w:r w:rsidRPr="00791317">
        <w:rPr>
          <w:rStyle w:val="SubtleEmphasis"/>
          <w:lang w:val="en-GB"/>
        </w:rPr>
        <w:t>Rn) and its progeny on radon end-user measurements and radon calibrations.</w:t>
      </w:r>
    </w:p>
    <w:p w14:paraId="71698242" w14:textId="5D07CAEB" w:rsidR="009E0133" w:rsidRDefault="002E7E51" w:rsidP="00894CF9">
      <w:pPr>
        <w:spacing w:after="100"/>
        <w:jc w:val="both"/>
        <w:rPr>
          <w:lang w:val="en-US"/>
        </w:rPr>
      </w:pPr>
      <w:r>
        <w:rPr>
          <w:lang w:val="en-US"/>
        </w:rPr>
        <w:t>T</w:t>
      </w:r>
      <w:r w:rsidR="00A14880" w:rsidRPr="00A14880">
        <w:rPr>
          <w:lang w:val="en-US"/>
        </w:rPr>
        <w:t>raceability and quality assurance of calibrations of radon monitors and of radon calibration facilities, as well as the development of methods to conduct a large number of traceable and quality assured in-situ and laboratory measurements of radon are required.</w:t>
      </w:r>
      <w:r w:rsidR="00894CF9" w:rsidRPr="00791317">
        <w:rPr>
          <w:lang w:val="en-GB"/>
        </w:rPr>
        <w:t xml:space="preserve"> Therefore, o</w:t>
      </w:r>
      <w:r w:rsidR="00894CF9" w:rsidRPr="00894CF9">
        <w:rPr>
          <w:lang w:val="en-US"/>
        </w:rPr>
        <w:t>ne objective of this project</w:t>
      </w:r>
      <w:r w:rsidR="009E0133">
        <w:rPr>
          <w:lang w:val="en-US"/>
        </w:rPr>
        <w:t xml:space="preserve"> was:</w:t>
      </w:r>
    </w:p>
    <w:p w14:paraId="45B1CC2E" w14:textId="676CE0B2" w:rsidR="009E0133" w:rsidRPr="00791317" w:rsidRDefault="009E0133" w:rsidP="00894CF9">
      <w:pPr>
        <w:spacing w:after="100"/>
        <w:jc w:val="both"/>
        <w:rPr>
          <w:rStyle w:val="SubtleEmphasis"/>
          <w:lang w:val="en-GB"/>
        </w:rPr>
      </w:pPr>
      <w:r w:rsidRPr="00791317">
        <w:rPr>
          <w:rStyle w:val="SubtleEmphasis"/>
          <w:lang w:val="en-GB"/>
        </w:rPr>
        <w:t>To validate traceability of European radon calibration facilities, and to publish guidelines and recommendations on calibration and measurement procedures for the determination of radon concentration in air.</w:t>
      </w:r>
    </w:p>
    <w:p w14:paraId="1017DE9C" w14:textId="77777777" w:rsidR="009E0133" w:rsidRDefault="009E0133" w:rsidP="009E0133">
      <w:pPr>
        <w:spacing w:after="100"/>
        <w:jc w:val="both"/>
        <w:rPr>
          <w:lang w:val="en-US"/>
        </w:rPr>
      </w:pPr>
      <w:r>
        <w:rPr>
          <w:lang w:val="en-US"/>
        </w:rPr>
        <w:t>A</w:t>
      </w:r>
      <w:r w:rsidRPr="00894CF9">
        <w:rPr>
          <w:lang w:val="en-US"/>
        </w:rPr>
        <w:t xml:space="preserve"> significant improvement in the metrological infrastructure in Europe in the field of radon calibrations at low activity concentrations have been achieved within the EMPIR Project 16ENV10 Metrology for radon monitoring (MetroRADON) in order to be able to fulfil the EU-BSS requirements.</w:t>
      </w:r>
      <w:r>
        <w:rPr>
          <w:lang w:val="en-US"/>
        </w:rPr>
        <w:t xml:space="preserve"> </w:t>
      </w:r>
      <w:r w:rsidRPr="008B705D">
        <w:rPr>
          <w:lang w:val="en-US"/>
        </w:rPr>
        <w:t>To achieve this goal, the calibration infrastructure has to be established and suitable procedures have to be developed to calibrate radon measuring devices at activity concentrations of 100 Bq/m</w:t>
      </w:r>
      <w:r w:rsidRPr="008B705D">
        <w:rPr>
          <w:vertAlign w:val="superscript"/>
          <w:lang w:val="en-US"/>
        </w:rPr>
        <w:t>3</w:t>
      </w:r>
      <w:r w:rsidRPr="008B705D">
        <w:rPr>
          <w:lang w:val="en-US"/>
        </w:rPr>
        <w:t xml:space="preserve"> to 300 Bq/m</w:t>
      </w:r>
      <w:r w:rsidRPr="008B705D">
        <w:rPr>
          <w:vertAlign w:val="superscript"/>
          <w:lang w:val="en-US"/>
        </w:rPr>
        <w:t>3</w:t>
      </w:r>
      <w:r w:rsidRPr="008B705D">
        <w:rPr>
          <w:lang w:val="en-US"/>
        </w:rPr>
        <w:t xml:space="preserve"> with relative uncertainties ≤ 5 % (k=1). </w:t>
      </w:r>
    </w:p>
    <w:p w14:paraId="2A0A7754" w14:textId="77777777" w:rsidR="002E7E51" w:rsidRDefault="002E7E51" w:rsidP="002E7E51">
      <w:pPr>
        <w:spacing w:after="100"/>
        <w:jc w:val="both"/>
        <w:rPr>
          <w:lang w:val="en-US"/>
        </w:rPr>
      </w:pPr>
      <w:r w:rsidRPr="008B705D">
        <w:rPr>
          <w:lang w:val="en-US"/>
        </w:rPr>
        <w:t>The experience gained within the EMPIR project for calibrations at low radon activity concentrations is summarized in the following guideline.</w:t>
      </w:r>
      <w:r>
        <w:rPr>
          <w:lang w:val="en-US"/>
        </w:rPr>
        <w:t xml:space="preserve"> </w:t>
      </w:r>
    </w:p>
    <w:p w14:paraId="50D781A6" w14:textId="6D91C0DB" w:rsidR="00C21DC3" w:rsidRPr="00791317" w:rsidRDefault="00C21DC3" w:rsidP="00C21DC3">
      <w:pPr>
        <w:rPr>
          <w:lang w:val="en-GB"/>
        </w:rPr>
      </w:pPr>
      <w:r w:rsidRPr="009F010B">
        <w:rPr>
          <w:lang w:val="en-US"/>
        </w:rPr>
        <w:t>This document</w:t>
      </w:r>
      <w:r>
        <w:rPr>
          <w:lang w:val="en-US"/>
        </w:rPr>
        <w:t xml:space="preserve"> reports g</w:t>
      </w:r>
      <w:r w:rsidRPr="009F010B">
        <w:rPr>
          <w:lang w:val="en-US"/>
        </w:rPr>
        <w:t>uideline</w:t>
      </w:r>
      <w:r>
        <w:rPr>
          <w:lang w:val="en-US"/>
        </w:rPr>
        <w:t xml:space="preserve"> which summarizes </w:t>
      </w:r>
      <w:r w:rsidRPr="009F010B">
        <w:rPr>
          <w:lang w:val="en-US"/>
        </w:rPr>
        <w:t xml:space="preserve">the constituents of the chain </w:t>
      </w:r>
      <w:r w:rsidRPr="00B05CDD">
        <w:rPr>
          <w:i/>
          <w:lang w:val="en-US"/>
        </w:rPr>
        <w:t>“from primary standards to radon maps” (traceability) and the links between them”</w:t>
      </w:r>
      <w:r>
        <w:rPr>
          <w:lang w:val="en-GB"/>
        </w:rPr>
        <w:t>.</w:t>
      </w:r>
      <w:r w:rsidRPr="00791317">
        <w:rPr>
          <w:lang w:val="en-GB"/>
        </w:rPr>
        <w:t xml:space="preserve">  The purpose of this document is to provide to laboratories and end-users guideline on established sound metrology for radon calibrations at low level (&lt; 300 </w:t>
      </w:r>
      <w:r w:rsidRPr="00791317">
        <w:rPr>
          <w:lang w:val="en-GB"/>
        </w:rPr>
        <w:lastRenderedPageBreak/>
        <w:t>Bq/m</w:t>
      </w:r>
      <w:r w:rsidRPr="00791317">
        <w:rPr>
          <w:vertAlign w:val="superscript"/>
          <w:lang w:val="en-GB"/>
        </w:rPr>
        <w:t>3</w:t>
      </w:r>
      <w:r w:rsidRPr="00791317">
        <w:rPr>
          <w:lang w:val="en-GB"/>
        </w:rPr>
        <w:t xml:space="preserve">) starting from the developments of radon emanations sources </w:t>
      </w:r>
      <w:r w:rsidR="001B5B05" w:rsidRPr="00791317">
        <w:rPr>
          <w:lang w:val="en-GB"/>
        </w:rPr>
        <w:t xml:space="preserve">up </w:t>
      </w:r>
      <w:r w:rsidRPr="00791317">
        <w:rPr>
          <w:lang w:val="en-GB"/>
        </w:rPr>
        <w:t>to the primary and secondary radon calibration facilities in Europe.</w:t>
      </w:r>
    </w:p>
    <w:p w14:paraId="30F79B34" w14:textId="5A423300" w:rsidR="00773D82" w:rsidRDefault="00773D82" w:rsidP="00773D82">
      <w:pPr>
        <w:rPr>
          <w:lang w:val="en-GB"/>
        </w:rPr>
      </w:pPr>
      <w:r>
        <w:rPr>
          <w:lang w:val="en-GB"/>
        </w:rPr>
        <w:t xml:space="preserve">This </w:t>
      </w:r>
      <w:r>
        <w:rPr>
          <w:lang w:val="en-GB"/>
        </w:rPr>
        <w:t>guideline</w:t>
      </w:r>
      <w:r w:rsidR="002E3CA0">
        <w:rPr>
          <w:lang w:val="en-GB"/>
        </w:rPr>
        <w:t>s</w:t>
      </w:r>
      <w:r>
        <w:rPr>
          <w:lang w:val="en-GB"/>
        </w:rPr>
        <w:t xml:space="preserve"> a</w:t>
      </w:r>
      <w:r>
        <w:rPr>
          <w:lang w:val="en-GB"/>
        </w:rPr>
        <w:t xml:space="preserve">re based on the work carried out during MetroRADON project. Specifically, it is based on the results reported in three </w:t>
      </w:r>
      <w:r w:rsidRPr="00065E93">
        <w:rPr>
          <w:lang w:val="en-GB"/>
        </w:rPr>
        <w:t>deliverables</w:t>
      </w:r>
      <w:r>
        <w:rPr>
          <w:lang w:val="en-GB"/>
        </w:rPr>
        <w:t xml:space="preserve"> of the project:</w:t>
      </w:r>
      <w:r w:rsidRPr="00065E93">
        <w:rPr>
          <w:lang w:val="en-GB"/>
        </w:rPr>
        <w:t xml:space="preserve"> D1, D2 and D7</w:t>
      </w:r>
      <w:r w:rsidR="00E86DBE">
        <w:rPr>
          <w:lang w:val="en-GB"/>
        </w:rPr>
        <w:t>, available on MetroRADON website (</w:t>
      </w:r>
      <w:hyperlink r:id="rId10" w:history="1">
        <w:r w:rsidR="00E86DBE" w:rsidRPr="00294FCE">
          <w:rPr>
            <w:rStyle w:val="Hyperlink"/>
            <w:lang w:val="en-GB"/>
          </w:rPr>
          <w:t>http://metroradon.eu/</w:t>
        </w:r>
      </w:hyperlink>
      <w:r w:rsidR="00E86DBE">
        <w:rPr>
          <w:lang w:val="en-GB"/>
        </w:rPr>
        <w:t>)</w:t>
      </w:r>
      <w:r>
        <w:rPr>
          <w:lang w:val="en-GB"/>
        </w:rPr>
        <w:t>.</w:t>
      </w:r>
      <w:r w:rsidRPr="00065E93">
        <w:rPr>
          <w:lang w:val="en-GB"/>
        </w:rPr>
        <w:t xml:space="preserve"> </w:t>
      </w:r>
    </w:p>
    <w:p w14:paraId="2609DD07" w14:textId="3AC3B364" w:rsidR="00773D82" w:rsidRDefault="00AD2D84" w:rsidP="00773D82">
      <w:pPr>
        <w:rPr>
          <w:lang w:val="en-GB"/>
        </w:rPr>
      </w:pPr>
      <w:r w:rsidRPr="00791317">
        <w:rPr>
          <w:b/>
          <w:lang w:val="en-GB"/>
        </w:rPr>
        <w:t>Deliverable D1</w:t>
      </w:r>
      <w:r>
        <w:rPr>
          <w:lang w:val="en-GB"/>
        </w:rPr>
        <w:t>,</w:t>
      </w:r>
      <w:r w:rsidRPr="00AD2D84">
        <w:rPr>
          <w:lang w:val="en-GB"/>
        </w:rPr>
        <w:t xml:space="preserve"> </w:t>
      </w:r>
      <w:r w:rsidRPr="00AD2D84">
        <w:rPr>
          <w:i/>
          <w:lang w:val="en-GB"/>
        </w:rPr>
        <w:t>Method for the traceable calibration of radon (222Rn) measurement instruments at low activity concentrations (100 Bq/m3 to 300 Bq/m3) with relative uncertainties ≤ 5 % (k = 1)</w:t>
      </w:r>
      <w:r w:rsidR="00824063">
        <w:rPr>
          <w:lang w:val="en-GB"/>
        </w:rPr>
        <w:t xml:space="preserve">. </w:t>
      </w:r>
    </w:p>
    <w:p w14:paraId="637125CA" w14:textId="00C5DEF8" w:rsidR="00773D82" w:rsidRPr="00773D82" w:rsidRDefault="00AD2D84" w:rsidP="00773D82">
      <w:pPr>
        <w:rPr>
          <w:color w:val="FF0000"/>
          <w:lang w:val="en-GB"/>
        </w:rPr>
      </w:pPr>
      <w:r w:rsidRPr="00791317">
        <w:rPr>
          <w:b/>
          <w:lang w:val="en-GB"/>
        </w:rPr>
        <w:t>Deliverable D2</w:t>
      </w:r>
      <w:r>
        <w:rPr>
          <w:lang w:val="en-GB"/>
        </w:rPr>
        <w:t xml:space="preserve">, </w:t>
      </w:r>
      <w:r w:rsidRPr="00AD2D84">
        <w:rPr>
          <w:i/>
          <w:lang w:val="en-GB"/>
        </w:rPr>
        <w:t>Report on the influence of thoron on radon monitors used in Europe including (i) procedures for checking their sensitivity to thoron, (ii) recommendations on the construction of radon monitors that are not sensitive to thoron and (iii) technical approaches aimed at reducing thoron-related bias in the radon signal in existing monitors.</w:t>
      </w:r>
      <w:r w:rsidR="00773D82">
        <w:rPr>
          <w:lang w:val="en-GB"/>
        </w:rPr>
        <w:t xml:space="preserve"> </w:t>
      </w:r>
    </w:p>
    <w:p w14:paraId="06C3A4D5" w14:textId="3626E003" w:rsidR="00773D82" w:rsidRDefault="00AD2D84" w:rsidP="00773D82">
      <w:pPr>
        <w:rPr>
          <w:lang w:val="en-GB"/>
        </w:rPr>
      </w:pPr>
      <w:r w:rsidRPr="00791317">
        <w:rPr>
          <w:b/>
          <w:lang w:val="en-GB"/>
        </w:rPr>
        <w:t>Deliverable</w:t>
      </w:r>
      <w:r w:rsidR="00773D82" w:rsidRPr="00791317">
        <w:rPr>
          <w:b/>
          <w:lang w:val="en-GB"/>
        </w:rPr>
        <w:t xml:space="preserve"> </w:t>
      </w:r>
      <w:r w:rsidRPr="00791317">
        <w:rPr>
          <w:b/>
          <w:lang w:val="en-GB"/>
        </w:rPr>
        <w:t>D7</w:t>
      </w:r>
      <w:r>
        <w:rPr>
          <w:lang w:val="en-GB"/>
        </w:rPr>
        <w:t xml:space="preserve">, </w:t>
      </w:r>
      <w:r w:rsidRPr="00AD2D84">
        <w:rPr>
          <w:i/>
          <w:lang w:val="en-GB"/>
        </w:rPr>
        <w:t>Validation report on the traceability of primary and secondary radon calibration facilities in Europe</w:t>
      </w:r>
      <w:r w:rsidR="00824063">
        <w:rPr>
          <w:lang w:val="en-GB"/>
        </w:rPr>
        <w:t xml:space="preserve">. </w:t>
      </w:r>
    </w:p>
    <w:p w14:paraId="6D1B3C1C" w14:textId="039E0D2E" w:rsidR="007B2FB4" w:rsidRPr="007B2FB4" w:rsidRDefault="005F1CC2" w:rsidP="007B2FB4">
      <w:pPr>
        <w:rPr>
          <w:lang w:val="en-GB"/>
        </w:rPr>
      </w:pPr>
      <w:r w:rsidRPr="00791317">
        <w:rPr>
          <w:lang w:val="en-GB"/>
        </w:rPr>
        <w:t xml:space="preserve">The guideline reported on this document </w:t>
      </w:r>
      <w:r w:rsidR="00773D82" w:rsidRPr="00791317">
        <w:rPr>
          <w:lang w:val="en-GB"/>
        </w:rPr>
        <w:t>focuses</w:t>
      </w:r>
      <w:r w:rsidR="007B2FB4" w:rsidRPr="00791317">
        <w:rPr>
          <w:lang w:val="en-GB"/>
        </w:rPr>
        <w:t xml:space="preserve"> on </w:t>
      </w:r>
      <w:r w:rsidRPr="00791317">
        <w:rPr>
          <w:lang w:val="en-GB"/>
        </w:rPr>
        <w:t xml:space="preserve">the </w:t>
      </w:r>
      <w:r w:rsidR="00773D82" w:rsidRPr="00791317">
        <w:rPr>
          <w:lang w:val="en-GB"/>
        </w:rPr>
        <w:t>development of</w:t>
      </w:r>
      <w:r w:rsidR="007B2FB4" w:rsidRPr="007B2FB4">
        <w:rPr>
          <w:lang w:val="en-GB"/>
        </w:rPr>
        <w:t xml:space="preserve"> </w:t>
      </w:r>
      <w:r w:rsidR="007B2FB4" w:rsidRPr="007B2FB4">
        <w:rPr>
          <w:vertAlign w:val="superscript"/>
          <w:lang w:val="en-GB"/>
        </w:rPr>
        <w:t>222</w:t>
      </w:r>
      <w:r w:rsidR="007B2FB4">
        <w:rPr>
          <w:lang w:val="en-GB"/>
        </w:rPr>
        <w:t xml:space="preserve">Rn and </w:t>
      </w:r>
      <w:r w:rsidR="007B2FB4" w:rsidRPr="007B2FB4">
        <w:rPr>
          <w:vertAlign w:val="superscript"/>
          <w:lang w:val="en-GB"/>
        </w:rPr>
        <w:t>220</w:t>
      </w:r>
      <w:r w:rsidR="007B2FB4">
        <w:rPr>
          <w:lang w:val="en-GB"/>
        </w:rPr>
        <w:t>Rn emanation source</w:t>
      </w:r>
      <w:r w:rsidR="00F27829">
        <w:rPr>
          <w:lang w:val="en-GB"/>
        </w:rPr>
        <w:t>s</w:t>
      </w:r>
      <w:r w:rsidR="007B2FB4">
        <w:rPr>
          <w:lang w:val="en-GB"/>
        </w:rPr>
        <w:t xml:space="preserve">. Then, it considers the procedures for the calibration of radon measurement instruments at low activity concentrations and the influence of thoron on radon monitor. Finally, it analyses the traceability of primary and secondary radon calibration facilities in Europe. </w:t>
      </w:r>
      <w:r w:rsidR="007B2FB4" w:rsidRPr="007B2FB4">
        <w:rPr>
          <w:lang w:val="en-GB"/>
        </w:rPr>
        <w:tab/>
      </w:r>
    </w:p>
    <w:p w14:paraId="3851A2FB" w14:textId="77777777" w:rsidR="00467F6C" w:rsidRPr="00791317" w:rsidRDefault="00467F6C" w:rsidP="00467F6C">
      <w:pPr>
        <w:rPr>
          <w:lang w:val="en-GB"/>
        </w:rPr>
      </w:pPr>
      <w:r w:rsidRPr="00791317">
        <w:rPr>
          <w:lang w:val="en-GB"/>
        </w:rPr>
        <w:t>Explanation of terms and definitions can be found in Annex 1.</w:t>
      </w:r>
    </w:p>
    <w:p w14:paraId="759A916F" w14:textId="634513B9" w:rsidR="00A914F2" w:rsidRPr="00791317" w:rsidRDefault="00A914F2" w:rsidP="00DC1CDD">
      <w:pPr>
        <w:rPr>
          <w:noProof/>
          <w:lang w:val="en-GB" w:eastAsia="de-DE"/>
        </w:rPr>
      </w:pPr>
      <w:r w:rsidRPr="00791317">
        <w:rPr>
          <w:noProof/>
          <w:lang w:val="en-GB" w:eastAsia="de-DE"/>
        </w:rPr>
        <w:t>List of full names of institutions</w:t>
      </w:r>
      <w:r w:rsidR="008308D2" w:rsidRPr="00791317">
        <w:rPr>
          <w:lang w:val="en-GB"/>
        </w:rPr>
        <w:t xml:space="preserve"> is reported in </w:t>
      </w:r>
      <w:r w:rsidR="008308D2" w:rsidRPr="00791317">
        <w:rPr>
          <w:noProof/>
          <w:lang w:val="en-GB" w:eastAsia="de-DE"/>
        </w:rPr>
        <w:t>Annex 2.</w:t>
      </w:r>
    </w:p>
    <w:p w14:paraId="6C128702" w14:textId="77777777" w:rsidR="002E7E51" w:rsidRPr="00791317" w:rsidRDefault="002E7E51" w:rsidP="00DC1CDD">
      <w:pPr>
        <w:rPr>
          <w:noProof/>
          <w:lang w:val="en-GB" w:eastAsia="de-DE"/>
        </w:rPr>
      </w:pPr>
    </w:p>
    <w:p w14:paraId="17EBF359" w14:textId="6CB88331" w:rsidR="007D3AEA" w:rsidRPr="00B515C4" w:rsidRDefault="007D3AEA" w:rsidP="00791317">
      <w:pPr>
        <w:jc w:val="center"/>
        <w:rPr>
          <w:noProof/>
          <w:lang w:val="en-GB" w:eastAsia="de-DE"/>
        </w:rPr>
      </w:pPr>
      <w:r w:rsidRPr="00791317">
        <w:rPr>
          <w:b/>
          <w:noProof/>
          <w:sz w:val="28"/>
          <w:szCs w:val="28"/>
          <w:lang w:val="en-GB" w:eastAsia="de-DE"/>
        </w:rPr>
        <w:t>Guidelines</w:t>
      </w:r>
    </w:p>
    <w:p w14:paraId="28C8549B" w14:textId="11B3044A" w:rsidR="00542873" w:rsidRDefault="00F27829" w:rsidP="00EA647D">
      <w:pPr>
        <w:pStyle w:val="Heading1"/>
        <w:spacing w:before="480" w:after="120" w:line="360" w:lineRule="auto"/>
        <w:rPr>
          <w:lang w:val="en-US"/>
        </w:rPr>
      </w:pPr>
      <w:bookmarkStart w:id="1" w:name="_Toc58936331"/>
      <w:r>
        <w:rPr>
          <w:lang w:val="en-US"/>
        </w:rPr>
        <w:t>2</w:t>
      </w:r>
      <w:r w:rsidR="00DF4D93">
        <w:rPr>
          <w:lang w:val="en-US"/>
        </w:rPr>
        <w:t>.</w:t>
      </w:r>
      <w:r w:rsidR="00615368">
        <w:rPr>
          <w:lang w:val="en-US"/>
        </w:rPr>
        <w:t xml:space="preserve"> Development of</w:t>
      </w:r>
      <w:r w:rsidR="00DF4D93">
        <w:rPr>
          <w:lang w:val="en-US"/>
        </w:rPr>
        <w:t xml:space="preserve"> </w:t>
      </w:r>
      <w:r w:rsidR="00185F48" w:rsidRPr="00DF4D93">
        <w:rPr>
          <w:vertAlign w:val="superscript"/>
          <w:lang w:val="en-US"/>
        </w:rPr>
        <w:t>222</w:t>
      </w:r>
      <w:r w:rsidR="00185F48" w:rsidRPr="00185F48">
        <w:rPr>
          <w:lang w:val="en-US"/>
        </w:rPr>
        <w:t>Rn an</w:t>
      </w:r>
      <w:r w:rsidR="00185F48">
        <w:rPr>
          <w:lang w:val="en-US"/>
        </w:rPr>
        <w:t>d</w:t>
      </w:r>
      <w:r w:rsidR="00185F48" w:rsidRPr="00185F48">
        <w:rPr>
          <w:lang w:val="en-US"/>
        </w:rPr>
        <w:t xml:space="preserve"> </w:t>
      </w:r>
      <w:r w:rsidR="00185F48" w:rsidRPr="00DF4D93">
        <w:rPr>
          <w:vertAlign w:val="superscript"/>
          <w:lang w:val="en-US"/>
        </w:rPr>
        <w:t>220</w:t>
      </w:r>
      <w:r w:rsidR="00185F48" w:rsidRPr="00185F48">
        <w:rPr>
          <w:lang w:val="en-US"/>
        </w:rPr>
        <w:t>Rn emanation source</w:t>
      </w:r>
      <w:bookmarkEnd w:id="1"/>
      <w:r w:rsidR="00185F48" w:rsidRPr="00185F48">
        <w:rPr>
          <w:lang w:val="en-US"/>
        </w:rPr>
        <w:t xml:space="preserve"> </w:t>
      </w:r>
    </w:p>
    <w:p w14:paraId="164BB130" w14:textId="767B15FA" w:rsidR="00B74877" w:rsidRDefault="006D5D06" w:rsidP="00EA647D">
      <w:pPr>
        <w:jc w:val="both"/>
        <w:rPr>
          <w:rFonts w:cs="Calibri"/>
          <w:szCs w:val="22"/>
          <w:lang w:val="en-US"/>
        </w:rPr>
      </w:pPr>
      <w:r w:rsidRPr="00EA647D">
        <w:rPr>
          <w:lang w:val="en-US"/>
        </w:rPr>
        <w:t xml:space="preserve">For the </w:t>
      </w:r>
      <w:r w:rsidRPr="00EA647D">
        <w:rPr>
          <w:rFonts w:cs="Calibri"/>
          <w:szCs w:val="22"/>
          <w:lang w:val="en-US"/>
        </w:rPr>
        <w:t>traceable calibration of radon (</w:t>
      </w:r>
      <w:r w:rsidRPr="00EA647D">
        <w:rPr>
          <w:rFonts w:cs="Calibri"/>
          <w:szCs w:val="22"/>
          <w:vertAlign w:val="superscript"/>
          <w:lang w:val="en-US"/>
        </w:rPr>
        <w:t>222</w:t>
      </w:r>
      <w:r>
        <w:rPr>
          <w:rFonts w:cs="Calibri"/>
          <w:szCs w:val="22"/>
          <w:lang w:val="en-US"/>
        </w:rPr>
        <w:t xml:space="preserve">Rn and </w:t>
      </w:r>
      <w:r w:rsidRPr="00EA647D">
        <w:rPr>
          <w:rFonts w:cs="Calibri"/>
          <w:szCs w:val="22"/>
          <w:vertAlign w:val="superscript"/>
          <w:lang w:val="en-US"/>
        </w:rPr>
        <w:t>220</w:t>
      </w:r>
      <w:r>
        <w:rPr>
          <w:rFonts w:cs="Calibri"/>
          <w:szCs w:val="22"/>
          <w:lang w:val="en-US"/>
        </w:rPr>
        <w:t>Rn</w:t>
      </w:r>
      <w:r w:rsidRPr="00EA647D">
        <w:rPr>
          <w:rFonts w:cs="Calibri"/>
          <w:szCs w:val="22"/>
          <w:lang w:val="en-US"/>
        </w:rPr>
        <w:t>) measurement instruments at low</w:t>
      </w:r>
      <w:r>
        <w:rPr>
          <w:rFonts w:cs="Calibri"/>
          <w:szCs w:val="22"/>
          <w:lang w:val="en-US"/>
        </w:rPr>
        <w:t xml:space="preserve"> </w:t>
      </w:r>
      <w:r w:rsidRPr="00EA647D">
        <w:rPr>
          <w:rFonts w:cs="Calibri"/>
          <w:szCs w:val="22"/>
          <w:lang w:val="en-US"/>
        </w:rPr>
        <w:t>activity concentrations (100</w:t>
      </w:r>
      <w:r>
        <w:rPr>
          <w:rFonts w:cs="Calibri"/>
          <w:szCs w:val="22"/>
          <w:lang w:val="en-US"/>
        </w:rPr>
        <w:t> </w:t>
      </w:r>
      <w:r w:rsidRPr="00EA647D">
        <w:rPr>
          <w:rFonts w:cs="Calibri"/>
          <w:szCs w:val="22"/>
          <w:lang w:val="en-US"/>
        </w:rPr>
        <w:t>Bq/m</w:t>
      </w:r>
      <w:r w:rsidRPr="00EA647D">
        <w:rPr>
          <w:rFonts w:cs="Calibri"/>
          <w:szCs w:val="22"/>
          <w:vertAlign w:val="superscript"/>
          <w:lang w:val="en-US"/>
        </w:rPr>
        <w:t>3</w:t>
      </w:r>
      <w:r w:rsidRPr="00EA647D">
        <w:rPr>
          <w:rFonts w:cs="Calibri"/>
          <w:sz w:val="14"/>
          <w:szCs w:val="14"/>
          <w:lang w:val="en-US"/>
        </w:rPr>
        <w:t xml:space="preserve"> </w:t>
      </w:r>
      <w:r w:rsidRPr="00EA647D">
        <w:rPr>
          <w:rFonts w:cs="Calibri"/>
          <w:szCs w:val="22"/>
          <w:lang w:val="en-US"/>
        </w:rPr>
        <w:t>to 300</w:t>
      </w:r>
      <w:r>
        <w:rPr>
          <w:rFonts w:cs="Calibri"/>
          <w:szCs w:val="22"/>
          <w:lang w:val="en-US"/>
        </w:rPr>
        <w:t> </w:t>
      </w:r>
      <w:r w:rsidRPr="00EA647D">
        <w:rPr>
          <w:rFonts w:cs="Calibri"/>
          <w:szCs w:val="22"/>
          <w:lang w:val="en-US"/>
        </w:rPr>
        <w:t>Bq/</w:t>
      </w:r>
      <w:r>
        <w:rPr>
          <w:rFonts w:cs="Calibri"/>
          <w:szCs w:val="22"/>
          <w:lang w:val="en-US"/>
        </w:rPr>
        <w:t>m</w:t>
      </w:r>
      <w:r w:rsidRPr="00EA647D">
        <w:rPr>
          <w:rFonts w:cs="Calibri"/>
          <w:szCs w:val="22"/>
          <w:vertAlign w:val="superscript"/>
          <w:lang w:val="en-US"/>
        </w:rPr>
        <w:t>3</w:t>
      </w:r>
      <w:r w:rsidRPr="00EA647D">
        <w:rPr>
          <w:rFonts w:cs="Calibri"/>
          <w:szCs w:val="22"/>
          <w:lang w:val="en-US"/>
        </w:rPr>
        <w:t>) with relative uncertainties ≤ 5 % (</w:t>
      </w:r>
      <w:r w:rsidRPr="00EA647D">
        <w:rPr>
          <w:rFonts w:ascii="Calibri-Italic" w:hAnsi="Calibri-Italic" w:cs="Calibri-Italic"/>
          <w:i/>
          <w:iCs/>
          <w:szCs w:val="22"/>
          <w:lang w:val="en-US"/>
        </w:rPr>
        <w:t xml:space="preserve">k </w:t>
      </w:r>
      <w:r w:rsidRPr="00EA647D">
        <w:rPr>
          <w:rFonts w:cs="Calibri"/>
          <w:szCs w:val="22"/>
          <w:lang w:val="en-US"/>
        </w:rPr>
        <w:t>= 1</w:t>
      </w:r>
      <w:r>
        <w:rPr>
          <w:rFonts w:cs="Calibri"/>
          <w:szCs w:val="22"/>
          <w:lang w:val="en-US"/>
        </w:rPr>
        <w:t xml:space="preserve">) special </w:t>
      </w:r>
      <w:r w:rsidRPr="00EA647D">
        <w:rPr>
          <w:rFonts w:cs="Calibri"/>
          <w:szCs w:val="22"/>
          <w:vertAlign w:val="superscript"/>
          <w:lang w:val="en-US"/>
        </w:rPr>
        <w:t>226</w:t>
      </w:r>
      <w:r>
        <w:rPr>
          <w:rFonts w:cs="Calibri"/>
          <w:szCs w:val="22"/>
          <w:lang w:val="en-US"/>
        </w:rPr>
        <w:t xml:space="preserve">Ra containing emanation sources are needed. </w:t>
      </w:r>
      <w:r w:rsidR="00401B49">
        <w:rPr>
          <w:rFonts w:cs="Calibri"/>
          <w:szCs w:val="22"/>
          <w:lang w:val="en-US"/>
        </w:rPr>
        <w:t xml:space="preserve">This emanation sources need to have </w:t>
      </w:r>
      <w:r w:rsidR="00401B49" w:rsidRPr="00EA647D">
        <w:rPr>
          <w:rFonts w:cs="Calibri"/>
          <w:szCs w:val="22"/>
          <w:lang w:val="en-US"/>
        </w:rPr>
        <w:t>constant,</w:t>
      </w:r>
      <w:r w:rsidR="00401B49">
        <w:rPr>
          <w:rFonts w:cs="Calibri"/>
          <w:szCs w:val="22"/>
          <w:lang w:val="en-US"/>
        </w:rPr>
        <w:t xml:space="preserve"> </w:t>
      </w:r>
      <w:r w:rsidR="00401B49" w:rsidRPr="00EA647D">
        <w:rPr>
          <w:rFonts w:cs="Calibri"/>
          <w:szCs w:val="22"/>
          <w:lang w:val="en-US"/>
        </w:rPr>
        <w:t>stable measured emanations</w:t>
      </w:r>
      <w:r w:rsidR="00B74877">
        <w:rPr>
          <w:rFonts w:cs="Calibri"/>
          <w:szCs w:val="22"/>
          <w:lang w:val="en-US"/>
        </w:rPr>
        <w:t>, which yield after a buildup phase a constant activity concentration in the reference volume. They have to be</w:t>
      </w:r>
      <w:r w:rsidR="00401B49" w:rsidRPr="00EA647D">
        <w:rPr>
          <w:rFonts w:cs="Calibri"/>
          <w:szCs w:val="22"/>
          <w:lang w:val="en-US"/>
        </w:rPr>
        <w:t xml:space="preserve"> traceable to primary standards, </w:t>
      </w:r>
      <w:r w:rsidR="00401B49">
        <w:rPr>
          <w:rFonts w:cs="Calibri"/>
          <w:szCs w:val="22"/>
          <w:lang w:val="en-US"/>
        </w:rPr>
        <w:t xml:space="preserve">are </w:t>
      </w:r>
      <w:r w:rsidR="00401B49" w:rsidRPr="00EA647D">
        <w:rPr>
          <w:rFonts w:cs="Calibri"/>
          <w:szCs w:val="22"/>
          <w:lang w:val="en-US"/>
        </w:rPr>
        <w:t xml:space="preserve">based on different technologies and </w:t>
      </w:r>
      <w:r w:rsidR="00401B49">
        <w:rPr>
          <w:rFonts w:cs="Calibri"/>
          <w:szCs w:val="22"/>
          <w:lang w:val="en-US"/>
        </w:rPr>
        <w:t xml:space="preserve">are </w:t>
      </w:r>
      <w:r w:rsidR="00401B49" w:rsidRPr="00EA647D">
        <w:rPr>
          <w:rFonts w:cs="Calibri"/>
          <w:szCs w:val="22"/>
          <w:lang w:val="en-US"/>
        </w:rPr>
        <w:t>compare</w:t>
      </w:r>
      <w:r w:rsidR="00401B49">
        <w:rPr>
          <w:rFonts w:cs="Calibri"/>
          <w:szCs w:val="22"/>
          <w:lang w:val="en-US"/>
        </w:rPr>
        <w:t>d</w:t>
      </w:r>
      <w:r w:rsidR="00401B49" w:rsidRPr="00EA647D">
        <w:rPr>
          <w:rFonts w:cs="Calibri"/>
          <w:szCs w:val="22"/>
          <w:lang w:val="en-US"/>
        </w:rPr>
        <w:t xml:space="preserve"> with decaying radon gas standards</w:t>
      </w:r>
      <w:r w:rsidR="00401B49">
        <w:rPr>
          <w:rFonts w:cs="Calibri"/>
          <w:szCs w:val="22"/>
          <w:lang w:val="en-US"/>
        </w:rPr>
        <w:t xml:space="preserve">. The decaying radon gas standards </w:t>
      </w:r>
      <w:r w:rsidR="00B74877">
        <w:rPr>
          <w:rFonts w:cs="Calibri"/>
          <w:szCs w:val="22"/>
          <w:lang w:val="en-US"/>
        </w:rPr>
        <w:t>them</w:t>
      </w:r>
      <w:r w:rsidR="00401B49">
        <w:rPr>
          <w:rFonts w:cs="Calibri"/>
          <w:szCs w:val="22"/>
          <w:lang w:val="en-US"/>
        </w:rPr>
        <w:t xml:space="preserve">self are not suitable, because the efficiency of radon measurement instruments is in general not high enough, to produce sufficient statistical uncertainty during the </w:t>
      </w:r>
      <w:r w:rsidR="00B74877">
        <w:rPr>
          <w:rFonts w:cs="Calibri"/>
          <w:szCs w:val="22"/>
          <w:lang w:val="en-US"/>
        </w:rPr>
        <w:t>half-li</w:t>
      </w:r>
      <w:r w:rsidR="00CD7E34">
        <w:rPr>
          <w:rFonts w:cs="Calibri"/>
          <w:szCs w:val="22"/>
          <w:lang w:val="en-US"/>
        </w:rPr>
        <w:t>f</w:t>
      </w:r>
      <w:r w:rsidR="00B74877">
        <w:rPr>
          <w:rFonts w:cs="Calibri"/>
          <w:szCs w:val="22"/>
          <w:lang w:val="en-US"/>
        </w:rPr>
        <w:t>e</w:t>
      </w:r>
      <w:r w:rsidR="00401B49">
        <w:rPr>
          <w:rFonts w:cs="Calibri"/>
          <w:szCs w:val="22"/>
          <w:lang w:val="en-US"/>
        </w:rPr>
        <w:t xml:space="preserve"> of the radon. </w:t>
      </w:r>
      <w:r w:rsidR="00F8490E">
        <w:rPr>
          <w:rFonts w:cs="Calibri"/>
          <w:szCs w:val="22"/>
          <w:lang w:val="en-US"/>
        </w:rPr>
        <w:t>To avoid the limitation of the efficiency of the radon measurement instruments a constant activity concentration is preferable for the calibration purpose.</w:t>
      </w:r>
      <w:r w:rsidR="00E86137">
        <w:rPr>
          <w:rFonts w:cs="Calibri"/>
          <w:szCs w:val="22"/>
          <w:lang w:val="en-US"/>
        </w:rPr>
        <w:t xml:space="preserve"> </w:t>
      </w:r>
      <w:r w:rsidR="00401B49">
        <w:rPr>
          <w:rFonts w:cs="Calibri"/>
          <w:szCs w:val="22"/>
          <w:lang w:val="en-US"/>
        </w:rPr>
        <w:t>The activity range as well as the emanation power of the source have to</w:t>
      </w:r>
      <w:r w:rsidR="00DB376F">
        <w:rPr>
          <w:rFonts w:cs="Calibri"/>
          <w:szCs w:val="22"/>
          <w:lang w:val="en-US"/>
        </w:rPr>
        <w:t xml:space="preserve"> </w:t>
      </w:r>
      <w:r w:rsidR="00401B49">
        <w:rPr>
          <w:rFonts w:cs="Calibri"/>
          <w:szCs w:val="22"/>
          <w:lang w:val="en-US"/>
        </w:rPr>
        <w:t>be chosen according to the volume of the calibration chamber</w:t>
      </w:r>
      <w:r w:rsidR="00B74877">
        <w:rPr>
          <w:rFonts w:cs="Calibri"/>
          <w:szCs w:val="22"/>
          <w:lang w:val="en-US"/>
        </w:rPr>
        <w:t xml:space="preserve"> and the scheme used for calibration.</w:t>
      </w:r>
    </w:p>
    <w:p w14:paraId="464C3150" w14:textId="5C4C4664" w:rsidR="00B74877" w:rsidRDefault="00B74877" w:rsidP="00EA647D">
      <w:pPr>
        <w:autoSpaceDE w:val="0"/>
        <w:autoSpaceDN w:val="0"/>
        <w:adjustRightInd w:val="0"/>
        <w:spacing w:after="0" w:line="240" w:lineRule="auto"/>
        <w:jc w:val="both"/>
        <w:rPr>
          <w:rFonts w:cs="Calibri"/>
          <w:szCs w:val="22"/>
          <w:lang w:val="en-US"/>
        </w:rPr>
      </w:pPr>
      <w:r>
        <w:rPr>
          <w:rFonts w:cs="Calibri"/>
          <w:szCs w:val="22"/>
          <w:lang w:val="en-US"/>
        </w:rPr>
        <w:t>Two different schemes are presently in use: open circuit and closed volume.</w:t>
      </w:r>
    </w:p>
    <w:p w14:paraId="1ABB9D36" w14:textId="062FFA1A" w:rsidR="0092461E" w:rsidRDefault="00DB376F" w:rsidP="00EA647D">
      <w:pPr>
        <w:autoSpaceDE w:val="0"/>
        <w:autoSpaceDN w:val="0"/>
        <w:adjustRightInd w:val="0"/>
        <w:spacing w:after="0" w:line="240" w:lineRule="auto"/>
        <w:jc w:val="both"/>
        <w:rPr>
          <w:rFonts w:cs="Calibri"/>
          <w:szCs w:val="22"/>
          <w:lang w:val="en-US"/>
        </w:rPr>
      </w:pPr>
      <w:r>
        <w:rPr>
          <w:rFonts w:cs="Calibri"/>
          <w:szCs w:val="22"/>
          <w:lang w:val="en-US"/>
        </w:rPr>
        <w:br/>
      </w:r>
      <w:r w:rsidR="00B74877">
        <w:rPr>
          <w:rFonts w:cs="Calibri"/>
          <w:szCs w:val="22"/>
          <w:lang w:val="en-US"/>
        </w:rPr>
        <w:t xml:space="preserve">In the case of an </w:t>
      </w:r>
      <w:r>
        <w:rPr>
          <w:rFonts w:cs="Calibri"/>
          <w:szCs w:val="22"/>
          <w:lang w:val="en-US"/>
        </w:rPr>
        <w:t xml:space="preserve">open circuit calibration scheme, the </w:t>
      </w:r>
      <w:r w:rsidRPr="00EA647D">
        <w:rPr>
          <w:rFonts w:cs="Calibri"/>
          <w:szCs w:val="22"/>
          <w:vertAlign w:val="superscript"/>
          <w:lang w:val="en-US"/>
        </w:rPr>
        <w:t>226</w:t>
      </w:r>
      <w:r>
        <w:rPr>
          <w:rFonts w:cs="Calibri"/>
          <w:szCs w:val="22"/>
          <w:lang w:val="en-US"/>
        </w:rPr>
        <w:t xml:space="preserve">Ra activity of the source can be higher, which makes </w:t>
      </w:r>
      <w:r w:rsidR="009E5EF8">
        <w:rPr>
          <w:rFonts w:cs="Calibri"/>
          <w:szCs w:val="22"/>
          <w:lang w:val="en-US"/>
        </w:rPr>
        <w:t xml:space="preserve">it easier to determine the </w:t>
      </w:r>
      <w:r w:rsidR="009E5EF8" w:rsidRPr="00EA647D">
        <w:rPr>
          <w:rFonts w:cs="Calibri"/>
          <w:szCs w:val="22"/>
          <w:vertAlign w:val="superscript"/>
          <w:lang w:val="en-US"/>
        </w:rPr>
        <w:t>226</w:t>
      </w:r>
      <w:r w:rsidR="009E5EF8">
        <w:rPr>
          <w:rFonts w:cs="Calibri"/>
          <w:szCs w:val="22"/>
          <w:lang w:val="en-US"/>
        </w:rPr>
        <w:t>Ra content and the emanation power of the source.</w:t>
      </w:r>
    </w:p>
    <w:p w14:paraId="3197CD58" w14:textId="77777777" w:rsidR="00B74877" w:rsidRDefault="0092461E" w:rsidP="00EA647D">
      <w:pPr>
        <w:autoSpaceDE w:val="0"/>
        <w:autoSpaceDN w:val="0"/>
        <w:adjustRightInd w:val="0"/>
        <w:spacing w:after="0" w:line="240" w:lineRule="auto"/>
        <w:jc w:val="both"/>
        <w:rPr>
          <w:rFonts w:cs="Calibri"/>
          <w:szCs w:val="22"/>
          <w:lang w:val="en-US"/>
        </w:rPr>
      </w:pPr>
      <w:r>
        <w:rPr>
          <w:rFonts w:cs="Calibri"/>
          <w:szCs w:val="22"/>
          <w:lang w:val="en-US"/>
        </w:rPr>
        <w:lastRenderedPageBreak/>
        <w:t>This kind of calibration allows for a fast change of the activity concentration, which makes them more attractive for productive calibration facilities and secondary standards.</w:t>
      </w:r>
    </w:p>
    <w:p w14:paraId="0741B00B" w14:textId="41F490C5" w:rsidR="008C060B" w:rsidRDefault="0092461E" w:rsidP="00EA647D">
      <w:pPr>
        <w:autoSpaceDE w:val="0"/>
        <w:autoSpaceDN w:val="0"/>
        <w:adjustRightInd w:val="0"/>
        <w:spacing w:after="0" w:line="240" w:lineRule="auto"/>
        <w:jc w:val="both"/>
        <w:rPr>
          <w:rFonts w:cs="Calibri"/>
          <w:szCs w:val="22"/>
          <w:lang w:val="en-US"/>
        </w:rPr>
      </w:pPr>
      <w:r>
        <w:rPr>
          <w:rFonts w:cs="Calibri"/>
          <w:szCs w:val="22"/>
          <w:lang w:val="en-US"/>
        </w:rPr>
        <w:br/>
        <w:t xml:space="preserve">On the other </w:t>
      </w:r>
      <w:r w:rsidR="00B74877">
        <w:rPr>
          <w:rFonts w:cs="Calibri"/>
          <w:szCs w:val="22"/>
          <w:lang w:val="en-US"/>
        </w:rPr>
        <w:t>hand,</w:t>
      </w:r>
      <w:r>
        <w:rPr>
          <w:rFonts w:cs="Calibri"/>
          <w:szCs w:val="22"/>
          <w:lang w:val="en-US"/>
        </w:rPr>
        <w:t xml:space="preserve"> a closed volume calibration allowing the activity concentration to get into equilibrium and determining the emanation of the source online, allows to have less free parameters and therefore is more suitable for primary calibration laboratories or </w:t>
      </w:r>
      <w:r w:rsidR="00B74877">
        <w:rPr>
          <w:rFonts w:cs="Calibri"/>
          <w:szCs w:val="22"/>
          <w:lang w:val="en-US"/>
        </w:rPr>
        <w:t xml:space="preserve">key </w:t>
      </w:r>
      <w:r>
        <w:rPr>
          <w:rFonts w:cs="Calibri"/>
          <w:szCs w:val="22"/>
          <w:lang w:val="en-US"/>
        </w:rPr>
        <w:t>comparison</w:t>
      </w:r>
      <w:r w:rsidR="008C060B">
        <w:rPr>
          <w:rFonts w:cs="Calibri"/>
          <w:szCs w:val="22"/>
          <w:lang w:val="en-US"/>
        </w:rPr>
        <w:t>s</w:t>
      </w:r>
      <w:r>
        <w:rPr>
          <w:rFonts w:cs="Calibri"/>
          <w:szCs w:val="22"/>
          <w:lang w:val="en-US"/>
        </w:rPr>
        <w:t>.</w:t>
      </w:r>
    </w:p>
    <w:p w14:paraId="72779535" w14:textId="70A41959" w:rsidR="008C060B" w:rsidRDefault="008C060B" w:rsidP="00EA647D">
      <w:pPr>
        <w:autoSpaceDE w:val="0"/>
        <w:autoSpaceDN w:val="0"/>
        <w:adjustRightInd w:val="0"/>
        <w:spacing w:after="0" w:line="240" w:lineRule="auto"/>
        <w:jc w:val="both"/>
        <w:rPr>
          <w:rFonts w:cs="Calibri"/>
          <w:szCs w:val="22"/>
          <w:lang w:val="en-US"/>
        </w:rPr>
      </w:pPr>
    </w:p>
    <w:p w14:paraId="626D585A" w14:textId="5A896929" w:rsidR="008C060B" w:rsidRDefault="008C060B" w:rsidP="00EA647D">
      <w:pPr>
        <w:autoSpaceDE w:val="0"/>
        <w:autoSpaceDN w:val="0"/>
        <w:adjustRightInd w:val="0"/>
        <w:spacing w:after="0" w:line="240" w:lineRule="auto"/>
        <w:jc w:val="both"/>
        <w:rPr>
          <w:rFonts w:cs="Calibri"/>
          <w:szCs w:val="22"/>
          <w:lang w:val="en-US"/>
        </w:rPr>
      </w:pPr>
      <w:r>
        <w:rPr>
          <w:rFonts w:cs="Calibri"/>
          <w:szCs w:val="22"/>
          <w:lang w:val="en-US"/>
        </w:rPr>
        <w:t>Different kinds of sources have been produced and characterized by the MetroRADON consortium</w:t>
      </w:r>
      <w:r w:rsidR="00B74877">
        <w:rPr>
          <w:rFonts w:cs="Calibri"/>
          <w:szCs w:val="22"/>
          <w:lang w:val="en-US"/>
        </w:rPr>
        <w:t>. They</w:t>
      </w:r>
      <w:r>
        <w:rPr>
          <w:rFonts w:cs="Calibri"/>
          <w:szCs w:val="22"/>
          <w:lang w:val="en-US"/>
        </w:rPr>
        <w:t xml:space="preserve"> are available for the preparation of </w:t>
      </w:r>
      <w:r w:rsidR="0001625E">
        <w:rPr>
          <w:rFonts w:cs="Calibri"/>
          <w:szCs w:val="22"/>
          <w:lang w:val="en-US"/>
        </w:rPr>
        <w:t xml:space="preserve">the desired </w:t>
      </w:r>
      <w:r>
        <w:rPr>
          <w:rFonts w:cs="Calibri"/>
          <w:szCs w:val="22"/>
          <w:lang w:val="en-US"/>
        </w:rPr>
        <w:t xml:space="preserve">constant radon activity concentrations </w:t>
      </w:r>
      <w:r w:rsidR="0001625E">
        <w:rPr>
          <w:rFonts w:cs="Calibri"/>
          <w:szCs w:val="22"/>
          <w:lang w:val="en-US"/>
        </w:rPr>
        <w:t>in a variety of different calibration facilities.</w:t>
      </w:r>
      <w:r w:rsidR="00BE33B4">
        <w:rPr>
          <w:rFonts w:cs="Calibri"/>
          <w:szCs w:val="22"/>
          <w:lang w:val="en-US"/>
        </w:rPr>
        <w:t xml:space="preserve"> The flow through sources prepared by CMI are available through Eurostandard (</w:t>
      </w:r>
      <w:r w:rsidR="00BE33B4" w:rsidRPr="00BE33B4">
        <w:rPr>
          <w:rFonts w:cs="Calibri"/>
          <w:szCs w:val="22"/>
          <w:lang w:val="en-US"/>
        </w:rPr>
        <w:t>https://www.eurostandard.cz/products.html#rf</w:t>
      </w:r>
      <w:r w:rsidR="00BE33B4">
        <w:rPr>
          <w:rFonts w:cs="Calibri"/>
          <w:szCs w:val="22"/>
          <w:lang w:val="en-US"/>
        </w:rPr>
        <w:t>) .  The active radon emanation sources developed by PTB are up to now distributed to partners of MetroRADON but a production for other NMI/DI can be arranged bilateraly.</w:t>
      </w:r>
    </w:p>
    <w:p w14:paraId="16176C70" w14:textId="1BA7B76B" w:rsidR="0001625E" w:rsidRDefault="0001625E" w:rsidP="00EA647D">
      <w:pPr>
        <w:autoSpaceDE w:val="0"/>
        <w:autoSpaceDN w:val="0"/>
        <w:adjustRightInd w:val="0"/>
        <w:spacing w:after="0" w:line="240" w:lineRule="auto"/>
        <w:jc w:val="both"/>
        <w:rPr>
          <w:rFonts w:cs="Calibri"/>
          <w:szCs w:val="22"/>
          <w:lang w:val="en-US"/>
        </w:rPr>
      </w:pPr>
    </w:p>
    <w:p w14:paraId="7E1DC110" w14:textId="002C2DAE" w:rsidR="004C26BC" w:rsidRDefault="0001625E" w:rsidP="00EA647D">
      <w:pPr>
        <w:autoSpaceDE w:val="0"/>
        <w:autoSpaceDN w:val="0"/>
        <w:adjustRightInd w:val="0"/>
        <w:spacing w:after="0" w:line="240" w:lineRule="auto"/>
        <w:jc w:val="both"/>
        <w:rPr>
          <w:rFonts w:cs="Calibri"/>
          <w:szCs w:val="22"/>
          <w:lang w:val="en-US"/>
        </w:rPr>
      </w:pPr>
      <w:r>
        <w:rPr>
          <w:rFonts w:cs="Calibri"/>
          <w:szCs w:val="22"/>
          <w:lang w:val="en-US"/>
        </w:rPr>
        <w:t xml:space="preserve">The sources developed by the JRC </w:t>
      </w:r>
      <w:r w:rsidR="007C3EC1">
        <w:rPr>
          <w:rFonts w:cs="Calibri"/>
          <w:szCs w:val="22"/>
          <w:lang w:val="en-US"/>
        </w:rPr>
        <w:t>are</w:t>
      </w:r>
      <w:r>
        <w:rPr>
          <w:rFonts w:cs="Calibri"/>
          <w:szCs w:val="22"/>
          <w:lang w:val="en-US"/>
        </w:rPr>
        <w:t xml:space="preserve"> based </w:t>
      </w:r>
      <w:r w:rsidR="007C3EC1">
        <w:rPr>
          <w:rFonts w:cs="Calibri"/>
          <w:szCs w:val="22"/>
          <w:lang w:val="en-US"/>
        </w:rPr>
        <w:t xml:space="preserve">on drop deposition and chemical adsorption as well as precipitation. The main advantage of the drop deposition is that the sources are easy to produce but could not be fully characterized due to a lack of available defines solid angle alpha particle spectrometry. The chemical adsorption as production process proved to be not very efficient, which allows to produce accurate low activity emanation sources with relatively low emanation power </w:t>
      </w:r>
      <w:r w:rsidR="007C3EC1" w:rsidRPr="00791317">
        <w:rPr>
          <w:rFonts w:cs="Calibri"/>
          <w:szCs w:val="22"/>
          <w:lang w:val="en-US"/>
        </w:rPr>
        <w:t>(</w:t>
      </w:r>
      <w:r w:rsidR="00BC0757" w:rsidRPr="00791317">
        <w:rPr>
          <w:rFonts w:cs="Calibri"/>
          <w:szCs w:val="22"/>
          <w:lang w:val="en-US"/>
        </w:rPr>
        <w:t xml:space="preserve">between 18 % and 25 %, </w:t>
      </w:r>
      <w:r w:rsidR="00582E85" w:rsidRPr="00791317">
        <w:rPr>
          <w:rFonts w:cs="Calibri"/>
          <w:szCs w:val="22"/>
          <w:lang w:val="en-US"/>
        </w:rPr>
        <w:t xml:space="preserve">for details </w:t>
      </w:r>
      <w:r w:rsidR="007C3EC1" w:rsidRPr="00791317">
        <w:rPr>
          <w:rFonts w:cs="Calibri"/>
          <w:szCs w:val="22"/>
          <w:lang w:val="en-US"/>
        </w:rPr>
        <w:t>see Table 1 in A.1.1.1</w:t>
      </w:r>
      <w:r w:rsidR="00791317">
        <w:rPr>
          <w:rFonts w:cs="Calibri"/>
          <w:szCs w:val="22"/>
          <w:lang w:val="en-US"/>
        </w:rPr>
        <w:t xml:space="preserve"> of D1</w:t>
      </w:r>
      <w:r w:rsidR="004C26BC">
        <w:rPr>
          <w:rFonts w:cs="Calibri"/>
          <w:szCs w:val="22"/>
          <w:lang w:val="en-US"/>
        </w:rPr>
        <w:t>). JRC concludes that these sources might need further method refinement and additional long-term stability testing, due to degradation of the base source materials. The advantage of this source is the good quality and homogeneity of even larger surface emanation sources.</w:t>
      </w:r>
    </w:p>
    <w:p w14:paraId="34DC7F9D" w14:textId="77777777" w:rsidR="004C26BC" w:rsidRDefault="004C26BC" w:rsidP="00EA647D">
      <w:pPr>
        <w:autoSpaceDE w:val="0"/>
        <w:autoSpaceDN w:val="0"/>
        <w:adjustRightInd w:val="0"/>
        <w:spacing w:after="0" w:line="240" w:lineRule="auto"/>
        <w:jc w:val="both"/>
        <w:rPr>
          <w:rFonts w:cs="Calibri"/>
          <w:szCs w:val="22"/>
          <w:lang w:val="en-US"/>
        </w:rPr>
      </w:pPr>
    </w:p>
    <w:p w14:paraId="4367D182" w14:textId="77777777" w:rsidR="00582E85" w:rsidRDefault="004C26BC" w:rsidP="00EA647D">
      <w:pPr>
        <w:autoSpaceDE w:val="0"/>
        <w:autoSpaceDN w:val="0"/>
        <w:adjustRightInd w:val="0"/>
        <w:spacing w:after="0" w:line="240" w:lineRule="auto"/>
        <w:jc w:val="both"/>
        <w:rPr>
          <w:rFonts w:cs="Calibri"/>
          <w:szCs w:val="22"/>
          <w:lang w:val="en-US"/>
        </w:rPr>
      </w:pPr>
      <w:r>
        <w:rPr>
          <w:rFonts w:cs="Calibri"/>
          <w:szCs w:val="22"/>
          <w:lang w:val="en-US"/>
        </w:rPr>
        <w:t>PTB decided to produce emanation sources via electro-deposition</w:t>
      </w:r>
      <w:r w:rsidR="00E85CC9">
        <w:rPr>
          <w:rFonts w:cs="Calibri"/>
          <w:szCs w:val="22"/>
          <w:lang w:val="en-US"/>
        </w:rPr>
        <w:t xml:space="preserve">, also </w:t>
      </w:r>
      <w:r w:rsidR="009D3FDC">
        <w:rPr>
          <w:rFonts w:cs="Calibri"/>
          <w:szCs w:val="22"/>
          <w:lang w:val="en-US"/>
        </w:rPr>
        <w:t>known as</w:t>
      </w:r>
      <w:r w:rsidR="00E85CC9">
        <w:rPr>
          <w:rFonts w:cs="Calibri"/>
          <w:szCs w:val="22"/>
          <w:lang w:val="en-US"/>
        </w:rPr>
        <w:t xml:space="preserve"> “molecular plating” for </w:t>
      </w:r>
      <w:r w:rsidR="00E85CC9" w:rsidRPr="00EA647D">
        <w:rPr>
          <w:rFonts w:cs="Calibri"/>
          <w:szCs w:val="22"/>
          <w:vertAlign w:val="superscript"/>
          <w:lang w:val="en-US"/>
        </w:rPr>
        <w:t>226</w:t>
      </w:r>
      <w:r w:rsidR="00E85CC9">
        <w:rPr>
          <w:rFonts w:cs="Calibri"/>
          <w:szCs w:val="22"/>
          <w:lang w:val="en-US"/>
        </w:rPr>
        <w:t xml:space="preserve">Ra. The advantage of this method is, that the same setup can be used as for the production of </w:t>
      </w:r>
      <w:r w:rsidR="00E85CC9" w:rsidRPr="00582E85">
        <w:rPr>
          <w:rFonts w:cs="Calibri"/>
          <w:szCs w:val="22"/>
          <w:lang w:val="en-US"/>
        </w:rPr>
        <w:t>228</w:t>
      </w:r>
      <w:r w:rsidR="00E85CC9" w:rsidRPr="00B74877">
        <w:rPr>
          <w:rFonts w:cs="Calibri"/>
          <w:szCs w:val="22"/>
          <w:lang w:val="en-US"/>
        </w:rPr>
        <w:t xml:space="preserve">Th </w:t>
      </w:r>
      <w:r w:rsidR="00E85CC9">
        <w:rPr>
          <w:rFonts w:cs="Calibri"/>
          <w:szCs w:val="22"/>
          <w:lang w:val="en-US"/>
        </w:rPr>
        <w:t>sources, which deploy the setup for electrolytical deposition (</w:t>
      </w:r>
      <w:r w:rsidR="00BC0757">
        <w:rPr>
          <w:rFonts w:cs="Calibri"/>
          <w:szCs w:val="22"/>
          <w:lang w:val="en-US"/>
        </w:rPr>
        <w:t xml:space="preserve">for the schematics of the experimental setup, </w:t>
      </w:r>
      <w:r w:rsidR="00582E85" w:rsidRPr="00582E85">
        <w:rPr>
          <w:rFonts w:cs="Calibri"/>
          <w:szCs w:val="22"/>
          <w:lang w:val="en-US"/>
        </w:rPr>
        <w:t>for details see Table 1 in A.1.1.1 of D1</w:t>
      </w:r>
      <w:r w:rsidR="00E85CC9" w:rsidRPr="00582E85">
        <w:rPr>
          <w:rFonts w:cs="Calibri"/>
          <w:szCs w:val="22"/>
          <w:lang w:val="en-US"/>
        </w:rPr>
        <w:t>).</w:t>
      </w:r>
    </w:p>
    <w:p w14:paraId="7B378F66" w14:textId="073E2E1C" w:rsidR="00F8490E" w:rsidRDefault="00E85CC9" w:rsidP="00EA647D">
      <w:pPr>
        <w:autoSpaceDE w:val="0"/>
        <w:autoSpaceDN w:val="0"/>
        <w:adjustRightInd w:val="0"/>
        <w:spacing w:after="0" w:line="240" w:lineRule="auto"/>
        <w:jc w:val="both"/>
        <w:rPr>
          <w:rFonts w:cs="Calibri"/>
          <w:szCs w:val="22"/>
          <w:lang w:val="en-US"/>
        </w:rPr>
      </w:pPr>
      <w:r>
        <w:rPr>
          <w:rFonts w:cs="Calibri"/>
          <w:szCs w:val="22"/>
          <w:lang w:val="en-US"/>
        </w:rPr>
        <w:t xml:space="preserve">The advantage of these sources itself, is the defined geometry, the homogeneity, the in general high emanation power and the possibility to characterize the source for its </w:t>
      </w:r>
      <w:r w:rsidRPr="00EA647D">
        <w:rPr>
          <w:rFonts w:cs="Calibri"/>
          <w:szCs w:val="22"/>
          <w:vertAlign w:val="superscript"/>
          <w:lang w:val="en-US"/>
        </w:rPr>
        <w:t>226</w:t>
      </w:r>
      <w:r>
        <w:rPr>
          <w:rFonts w:cs="Calibri"/>
          <w:szCs w:val="22"/>
          <w:lang w:val="en-US"/>
        </w:rPr>
        <w:t>Ra/</w:t>
      </w:r>
      <w:r w:rsidRPr="00EA647D">
        <w:rPr>
          <w:rFonts w:cs="Calibri"/>
          <w:szCs w:val="22"/>
          <w:vertAlign w:val="superscript"/>
          <w:lang w:val="en-US"/>
        </w:rPr>
        <w:t>228</w:t>
      </w:r>
      <w:r>
        <w:rPr>
          <w:rFonts w:cs="Calibri"/>
          <w:szCs w:val="22"/>
          <w:lang w:val="en-US"/>
        </w:rPr>
        <w:t>Th content through primary define</w:t>
      </w:r>
      <w:r w:rsidR="00F8490E">
        <w:rPr>
          <w:rFonts w:cs="Calibri"/>
          <w:szCs w:val="22"/>
          <w:lang w:val="en-US"/>
        </w:rPr>
        <w:t>d</w:t>
      </w:r>
      <w:r>
        <w:rPr>
          <w:rFonts w:cs="Calibri"/>
          <w:szCs w:val="22"/>
          <w:lang w:val="en-US"/>
        </w:rPr>
        <w:t xml:space="preserve"> solid angle alpha spectrometry, as well as to follow it</w:t>
      </w:r>
      <w:r w:rsidR="009D3FDC">
        <w:rPr>
          <w:rFonts w:cs="Calibri"/>
          <w:szCs w:val="22"/>
          <w:lang w:val="en-US"/>
        </w:rPr>
        <w:t>s</w:t>
      </w:r>
      <w:r>
        <w:rPr>
          <w:rFonts w:cs="Calibri"/>
          <w:szCs w:val="22"/>
          <w:lang w:val="en-US"/>
        </w:rPr>
        <w:t xml:space="preserve"> emanation power online, with the help of a primary loss measurement </w:t>
      </w:r>
      <w:r w:rsidRPr="00582E85">
        <w:rPr>
          <w:rFonts w:cs="Calibri"/>
          <w:szCs w:val="22"/>
          <w:lang w:val="en-US"/>
        </w:rPr>
        <w:t xml:space="preserve">applying </w:t>
      </w:r>
      <w:r w:rsidRPr="00582E85">
        <w:rPr>
          <w:rFonts w:ascii="Symbol" w:hAnsi="Symbol" w:cs="Calibri"/>
          <w:szCs w:val="22"/>
          <w:lang w:val="en-US"/>
        </w:rPr>
        <w:t></w:t>
      </w:r>
      <w:r w:rsidRPr="00582E85">
        <w:rPr>
          <w:rFonts w:cs="Calibri"/>
          <w:szCs w:val="22"/>
          <w:lang w:val="en-US"/>
        </w:rPr>
        <w:t>-spectrometry</w:t>
      </w:r>
      <w:r w:rsidR="0047122B" w:rsidRPr="00582E85">
        <w:rPr>
          <w:rFonts w:cs="Calibri"/>
          <w:szCs w:val="22"/>
          <w:lang w:val="en-US"/>
        </w:rPr>
        <w:t xml:space="preserve"> using e.g. portable scintillation detectors (LaBr</w:t>
      </w:r>
      <w:r w:rsidR="0047122B" w:rsidRPr="00582E85">
        <w:rPr>
          <w:rFonts w:cs="Calibri"/>
          <w:szCs w:val="22"/>
          <w:vertAlign w:val="subscript"/>
          <w:lang w:val="en-US"/>
        </w:rPr>
        <w:t>3</w:t>
      </w:r>
      <w:r w:rsidR="0047122B" w:rsidRPr="00582E85">
        <w:rPr>
          <w:rFonts w:cs="Calibri"/>
          <w:szCs w:val="22"/>
          <w:lang w:val="en-US"/>
        </w:rPr>
        <w:t>, CeBr</w:t>
      </w:r>
      <w:r w:rsidR="0047122B" w:rsidRPr="00582E85">
        <w:rPr>
          <w:rFonts w:cs="Calibri"/>
          <w:szCs w:val="22"/>
          <w:vertAlign w:val="subscript"/>
          <w:lang w:val="en-US"/>
        </w:rPr>
        <w:t>3</w:t>
      </w:r>
      <w:r w:rsidR="0047122B" w:rsidRPr="00582E85">
        <w:rPr>
          <w:rFonts w:cs="Calibri"/>
          <w:szCs w:val="22"/>
          <w:lang w:val="en-US"/>
        </w:rPr>
        <w:t>, SrI</w:t>
      </w:r>
      <w:r w:rsidR="0047122B" w:rsidRPr="00582E85">
        <w:rPr>
          <w:rFonts w:cs="Calibri"/>
          <w:szCs w:val="22"/>
          <w:vertAlign w:val="subscript"/>
          <w:lang w:val="en-US"/>
        </w:rPr>
        <w:t>2</w:t>
      </w:r>
      <w:r w:rsidR="0047122B" w:rsidRPr="00582E85">
        <w:rPr>
          <w:rFonts w:cs="Calibri"/>
          <w:szCs w:val="22"/>
          <w:lang w:val="en-US"/>
        </w:rPr>
        <w:t>). These sources have been characterized very careful</w:t>
      </w:r>
      <w:r w:rsidR="009D3FDC" w:rsidRPr="00582E85">
        <w:rPr>
          <w:rFonts w:cs="Calibri"/>
          <w:szCs w:val="22"/>
          <w:lang w:val="en-US"/>
        </w:rPr>
        <w:t>ly</w:t>
      </w:r>
      <w:r w:rsidR="0047122B" w:rsidRPr="00582E85">
        <w:rPr>
          <w:rFonts w:cs="Calibri"/>
          <w:szCs w:val="22"/>
          <w:lang w:val="en-US"/>
        </w:rPr>
        <w:t xml:space="preserve"> direct</w:t>
      </w:r>
      <w:r w:rsidR="009D3FDC" w:rsidRPr="00582E85">
        <w:rPr>
          <w:rFonts w:cs="Calibri"/>
          <w:szCs w:val="22"/>
          <w:lang w:val="en-US"/>
        </w:rPr>
        <w:t>ly</w:t>
      </w:r>
      <w:r w:rsidR="0047122B" w:rsidRPr="00582E85">
        <w:rPr>
          <w:rFonts w:cs="Calibri"/>
          <w:szCs w:val="22"/>
          <w:lang w:val="en-US"/>
        </w:rPr>
        <w:t xml:space="preserve"> traceable to national standards and therefore the dependence of the emanation power to humidity is known accurately. The sources are meant to be used in </w:t>
      </w:r>
      <w:r w:rsidR="00AA1761" w:rsidRPr="00582E85">
        <w:rPr>
          <w:rFonts w:cs="Calibri"/>
          <w:szCs w:val="22"/>
          <w:lang w:val="en-US"/>
        </w:rPr>
        <w:t>National Metrology Institutes (</w:t>
      </w:r>
      <w:r w:rsidR="0047122B" w:rsidRPr="00582E85">
        <w:rPr>
          <w:rFonts w:cs="Calibri"/>
          <w:szCs w:val="22"/>
          <w:lang w:val="en-US"/>
        </w:rPr>
        <w:t>NMI</w:t>
      </w:r>
      <w:r w:rsidR="00AA1761" w:rsidRPr="00582E85">
        <w:rPr>
          <w:rFonts w:cs="Calibri"/>
          <w:szCs w:val="22"/>
          <w:lang w:val="en-US"/>
        </w:rPr>
        <w:t>) or designated Institutes (</w:t>
      </w:r>
      <w:r w:rsidR="00F8490E" w:rsidRPr="00582E85">
        <w:rPr>
          <w:rFonts w:cs="Calibri"/>
          <w:szCs w:val="22"/>
          <w:lang w:val="en-US"/>
        </w:rPr>
        <w:t>DI</w:t>
      </w:r>
      <w:r w:rsidR="00AA1761" w:rsidRPr="00582E85">
        <w:rPr>
          <w:rFonts w:cs="Calibri"/>
          <w:szCs w:val="22"/>
          <w:lang w:val="en-US"/>
        </w:rPr>
        <w:t>)</w:t>
      </w:r>
      <w:r w:rsidR="0047122B" w:rsidRPr="00582E85">
        <w:rPr>
          <w:rFonts w:cs="Calibri"/>
          <w:szCs w:val="22"/>
          <w:lang w:val="en-US"/>
        </w:rPr>
        <w:t xml:space="preserve">. </w:t>
      </w:r>
      <w:r w:rsidR="00DD3D55" w:rsidRPr="00582E85">
        <w:rPr>
          <w:rFonts w:cs="Calibri"/>
          <w:szCs w:val="22"/>
          <w:lang w:val="en-US"/>
        </w:rPr>
        <w:t>Therefore,</w:t>
      </w:r>
      <w:r w:rsidR="0047122B" w:rsidRPr="00582E85">
        <w:rPr>
          <w:rFonts w:cs="Calibri"/>
          <w:szCs w:val="22"/>
          <w:lang w:val="en-US"/>
        </w:rPr>
        <w:t xml:space="preserve"> online measurement systems and procedures have been developed (</w:t>
      </w:r>
      <w:r w:rsidR="007768E4" w:rsidRPr="00582E85">
        <w:rPr>
          <w:rFonts w:cs="Calibri"/>
          <w:szCs w:val="22"/>
          <w:lang w:val="en-US"/>
        </w:rPr>
        <w:t xml:space="preserve">for details of the active, online emanation measurement to derive the radon activity concentration, </w:t>
      </w:r>
      <w:r w:rsidR="0047122B" w:rsidRPr="00582E85">
        <w:rPr>
          <w:rFonts w:cs="Calibri"/>
          <w:szCs w:val="22"/>
          <w:lang w:val="en-US"/>
        </w:rPr>
        <w:t>see section 4 in A1.1.1</w:t>
      </w:r>
      <w:r w:rsidR="00582E85" w:rsidRPr="00582E85">
        <w:rPr>
          <w:rFonts w:cs="Calibri"/>
          <w:szCs w:val="22"/>
          <w:lang w:val="en-US"/>
        </w:rPr>
        <w:t>of D1</w:t>
      </w:r>
      <w:r w:rsidR="0047122B" w:rsidRPr="00582E85">
        <w:rPr>
          <w:rFonts w:cs="Calibri"/>
          <w:szCs w:val="22"/>
          <w:lang w:val="en-US"/>
        </w:rPr>
        <w:t>). In</w:t>
      </w:r>
      <w:r w:rsidR="0047122B">
        <w:rPr>
          <w:rFonts w:cs="Calibri"/>
          <w:szCs w:val="22"/>
          <w:lang w:val="en-US"/>
        </w:rPr>
        <w:t xml:space="preserve"> </w:t>
      </w:r>
      <w:r w:rsidR="00DD3D55">
        <w:rPr>
          <w:rFonts w:cs="Calibri"/>
          <w:szCs w:val="22"/>
          <w:lang w:val="en-US"/>
        </w:rPr>
        <w:t>addition,</w:t>
      </w:r>
      <w:r w:rsidR="0047122B">
        <w:rPr>
          <w:rFonts w:cs="Calibri"/>
          <w:szCs w:val="22"/>
          <w:lang w:val="en-US"/>
        </w:rPr>
        <w:t xml:space="preserve"> a small number of sources </w:t>
      </w:r>
      <w:r w:rsidR="00F8490E">
        <w:rPr>
          <w:rFonts w:cs="Calibri"/>
          <w:szCs w:val="22"/>
          <w:lang w:val="en-US"/>
        </w:rPr>
        <w:t>are</w:t>
      </w:r>
      <w:r w:rsidR="0047122B">
        <w:rPr>
          <w:rFonts w:cs="Calibri"/>
          <w:szCs w:val="22"/>
          <w:lang w:val="en-US"/>
        </w:rPr>
        <w:t xml:space="preserve"> produced for special </w:t>
      </w:r>
      <w:r w:rsidR="00F8490E">
        <w:rPr>
          <w:rFonts w:cs="Calibri"/>
          <w:szCs w:val="22"/>
          <w:lang w:val="en-US"/>
        </w:rPr>
        <w:t xml:space="preserve">scientific </w:t>
      </w:r>
      <w:r w:rsidR="0047122B">
        <w:rPr>
          <w:rFonts w:cs="Calibri"/>
          <w:szCs w:val="22"/>
          <w:lang w:val="en-US"/>
        </w:rPr>
        <w:t>purpose</w:t>
      </w:r>
      <w:r w:rsidR="00F8490E">
        <w:rPr>
          <w:rFonts w:cs="Calibri"/>
          <w:szCs w:val="22"/>
          <w:lang w:val="en-US"/>
        </w:rPr>
        <w:t>,</w:t>
      </w:r>
      <w:r w:rsidR="0047122B">
        <w:rPr>
          <w:rFonts w:cs="Calibri"/>
          <w:szCs w:val="22"/>
          <w:lang w:val="en-US"/>
        </w:rPr>
        <w:t xml:space="preserve"> applying mass separated </w:t>
      </w:r>
      <w:r w:rsidR="00DD3D55">
        <w:rPr>
          <w:rFonts w:cs="Calibri"/>
          <w:szCs w:val="22"/>
          <w:lang w:val="en-US"/>
        </w:rPr>
        <w:t xml:space="preserve">ion implantation of laser ionized </w:t>
      </w:r>
      <w:r w:rsidR="00DD3D55" w:rsidRPr="00EA647D">
        <w:rPr>
          <w:rFonts w:cs="Calibri"/>
          <w:szCs w:val="22"/>
          <w:vertAlign w:val="superscript"/>
          <w:lang w:val="en-US"/>
        </w:rPr>
        <w:t>226</w:t>
      </w:r>
      <w:r w:rsidR="00DD3D55">
        <w:rPr>
          <w:rFonts w:cs="Calibri"/>
          <w:szCs w:val="22"/>
          <w:lang w:val="en-US"/>
        </w:rPr>
        <w:t>Ra.</w:t>
      </w:r>
      <w:r w:rsidR="00F8490E">
        <w:rPr>
          <w:rFonts w:cs="Calibri"/>
          <w:szCs w:val="22"/>
          <w:lang w:val="en-US"/>
        </w:rPr>
        <w:t xml:space="preserve"> To further improve the quality (alpha energy distribution, content of impurity (Ba), environmental parameter dependence) of the emanation sources, a dedicated setup for physical vapor deposition of </w:t>
      </w:r>
      <w:r w:rsidR="00F8490E" w:rsidRPr="00EA647D">
        <w:rPr>
          <w:rFonts w:cs="Calibri"/>
          <w:szCs w:val="22"/>
          <w:vertAlign w:val="superscript"/>
          <w:lang w:val="en-US"/>
        </w:rPr>
        <w:t>226</w:t>
      </w:r>
      <w:r w:rsidR="00F8490E">
        <w:rPr>
          <w:rFonts w:cs="Calibri"/>
          <w:szCs w:val="22"/>
          <w:lang w:val="en-US"/>
        </w:rPr>
        <w:t xml:space="preserve">Ra on target materials or even detectors </w:t>
      </w:r>
      <w:r w:rsidR="005C32E2">
        <w:rPr>
          <w:rFonts w:cs="Calibri"/>
          <w:szCs w:val="22"/>
          <w:lang w:val="en-US"/>
        </w:rPr>
        <w:t>is planned.</w:t>
      </w:r>
    </w:p>
    <w:p w14:paraId="2301EE1B" w14:textId="1C183C68" w:rsidR="005C32E2" w:rsidRDefault="005C32E2" w:rsidP="00EA647D">
      <w:pPr>
        <w:autoSpaceDE w:val="0"/>
        <w:autoSpaceDN w:val="0"/>
        <w:adjustRightInd w:val="0"/>
        <w:spacing w:after="0" w:line="240" w:lineRule="auto"/>
        <w:jc w:val="both"/>
        <w:rPr>
          <w:rFonts w:cs="Calibri"/>
          <w:szCs w:val="22"/>
          <w:lang w:val="en-US"/>
        </w:rPr>
      </w:pPr>
    </w:p>
    <w:p w14:paraId="68D216E7" w14:textId="50CBF790" w:rsidR="005C32E2" w:rsidRDefault="005C32E2" w:rsidP="00AA1761">
      <w:pPr>
        <w:autoSpaceDE w:val="0"/>
        <w:autoSpaceDN w:val="0"/>
        <w:adjustRightInd w:val="0"/>
        <w:spacing w:after="0" w:line="240" w:lineRule="auto"/>
        <w:jc w:val="both"/>
        <w:rPr>
          <w:rFonts w:cs="Calibri"/>
          <w:szCs w:val="22"/>
          <w:lang w:val="en-US"/>
        </w:rPr>
      </w:pPr>
      <w:r>
        <w:rPr>
          <w:rFonts w:cs="Calibri"/>
          <w:szCs w:val="22"/>
          <w:lang w:val="en-US"/>
        </w:rPr>
        <w:t>The CEA-LNHB produced sources forming a radium barium stearate co</w:t>
      </w:r>
      <w:r w:rsidR="00AA1761">
        <w:rPr>
          <w:rFonts w:cs="Calibri"/>
          <w:szCs w:val="22"/>
          <w:lang w:val="en-US"/>
        </w:rPr>
        <w:t>-</w:t>
      </w:r>
      <w:r>
        <w:rPr>
          <w:rFonts w:cs="Calibri"/>
          <w:szCs w:val="22"/>
          <w:lang w:val="en-US"/>
        </w:rPr>
        <w:t xml:space="preserve">precipitate placed between cellulose/glass fiber filters, to emanate the radon. The </w:t>
      </w:r>
      <w:r w:rsidRPr="00EA647D">
        <w:rPr>
          <w:rFonts w:cs="Calibri"/>
          <w:szCs w:val="22"/>
          <w:vertAlign w:val="superscript"/>
          <w:lang w:val="en-US"/>
        </w:rPr>
        <w:t>226</w:t>
      </w:r>
      <w:r>
        <w:rPr>
          <w:rFonts w:cs="Calibri"/>
          <w:szCs w:val="22"/>
          <w:lang w:val="en-US"/>
        </w:rPr>
        <w:t>Ra activity is determined via HPGe-</w:t>
      </w:r>
      <w:r w:rsidRPr="00EA647D">
        <w:rPr>
          <w:rFonts w:ascii="Symbol" w:hAnsi="Symbol" w:cs="Calibri"/>
          <w:szCs w:val="22"/>
          <w:lang w:val="en-US"/>
        </w:rPr>
        <w:t></w:t>
      </w:r>
      <w:r>
        <w:rPr>
          <w:rFonts w:cs="Calibri"/>
          <w:szCs w:val="22"/>
          <w:lang w:val="en-US"/>
        </w:rPr>
        <w:t xml:space="preserve">-spectrometry according to ISO17025 rules. These sources </w:t>
      </w:r>
      <w:r w:rsidR="00622AF7">
        <w:rPr>
          <w:rFonts w:cs="Calibri"/>
          <w:szCs w:val="22"/>
          <w:lang w:val="en-US"/>
        </w:rPr>
        <w:t xml:space="preserve">are placed in a gas flow and the emanation of </w:t>
      </w:r>
      <w:r w:rsidR="00622AF7" w:rsidRPr="00EA647D">
        <w:rPr>
          <w:rFonts w:cs="Calibri"/>
          <w:szCs w:val="22"/>
          <w:vertAlign w:val="superscript"/>
          <w:lang w:val="en-US"/>
        </w:rPr>
        <w:t>222</w:t>
      </w:r>
      <w:r w:rsidR="00622AF7">
        <w:rPr>
          <w:rFonts w:cs="Calibri"/>
          <w:szCs w:val="22"/>
          <w:lang w:val="en-US"/>
        </w:rPr>
        <w:t>Rn is determined using the method of direct and traceable measurement of the activity concentration in the air flow developed by CEA with support of METAS. The advantage of these sources is the possibility to use them in noble gas tight loop systems like at CEA-LNHB.</w:t>
      </w:r>
      <w:r w:rsidR="00B266FE">
        <w:rPr>
          <w:rFonts w:cs="Calibri"/>
          <w:szCs w:val="22"/>
          <w:lang w:val="en-US"/>
        </w:rPr>
        <w:t xml:space="preserve"> In addition, it is possible, to mix in one loop, sources with </w:t>
      </w:r>
      <w:r w:rsidR="00B266FE" w:rsidRPr="00EA647D">
        <w:rPr>
          <w:rFonts w:cs="Calibri"/>
          <w:szCs w:val="22"/>
          <w:vertAlign w:val="superscript"/>
          <w:lang w:val="en-US"/>
        </w:rPr>
        <w:t>226</w:t>
      </w:r>
      <w:r w:rsidR="00B266FE">
        <w:rPr>
          <w:rFonts w:cs="Calibri"/>
          <w:szCs w:val="22"/>
          <w:lang w:val="en-US"/>
        </w:rPr>
        <w:t xml:space="preserve">Ra and </w:t>
      </w:r>
      <w:r w:rsidR="00B266FE" w:rsidRPr="00EA647D">
        <w:rPr>
          <w:rFonts w:cs="Calibri"/>
          <w:szCs w:val="22"/>
          <w:vertAlign w:val="superscript"/>
          <w:lang w:val="en-US"/>
        </w:rPr>
        <w:t>228</w:t>
      </w:r>
      <w:r w:rsidR="00B266FE" w:rsidRPr="00DD3394">
        <w:rPr>
          <w:rFonts w:cs="Calibri"/>
          <w:szCs w:val="22"/>
          <w:lang w:val="en-US"/>
        </w:rPr>
        <w:t>Th</w:t>
      </w:r>
      <w:r w:rsidR="00B266FE">
        <w:rPr>
          <w:rFonts w:cs="Calibri"/>
          <w:szCs w:val="22"/>
          <w:lang w:val="en-US"/>
        </w:rPr>
        <w:t xml:space="preserve">. Therefore, mixed atmospheres consisting of </w:t>
      </w:r>
      <w:r w:rsidR="00B266FE" w:rsidRPr="00EA647D">
        <w:rPr>
          <w:rFonts w:cs="Calibri"/>
          <w:szCs w:val="22"/>
          <w:vertAlign w:val="superscript"/>
          <w:lang w:val="en-US"/>
        </w:rPr>
        <w:t>222</w:t>
      </w:r>
      <w:r w:rsidR="00B266FE">
        <w:rPr>
          <w:rFonts w:cs="Calibri"/>
          <w:szCs w:val="22"/>
          <w:lang w:val="en-US"/>
        </w:rPr>
        <w:t xml:space="preserve">Rn and </w:t>
      </w:r>
      <w:r w:rsidR="00B266FE" w:rsidRPr="00EA647D">
        <w:rPr>
          <w:rFonts w:cs="Calibri"/>
          <w:szCs w:val="22"/>
          <w:vertAlign w:val="superscript"/>
          <w:lang w:val="en-US"/>
        </w:rPr>
        <w:t>220</w:t>
      </w:r>
      <w:r w:rsidR="00B266FE">
        <w:rPr>
          <w:rFonts w:cs="Calibri"/>
          <w:szCs w:val="22"/>
          <w:lang w:val="en-US"/>
        </w:rPr>
        <w:t>Rn are produced</w:t>
      </w:r>
      <w:r w:rsidR="00AA1761">
        <w:rPr>
          <w:rFonts w:cs="Calibri"/>
          <w:szCs w:val="22"/>
          <w:lang w:val="en-US"/>
        </w:rPr>
        <w:t xml:space="preserve"> </w:t>
      </w:r>
      <w:r w:rsidR="00B266FE">
        <w:rPr>
          <w:rFonts w:cs="Calibri"/>
          <w:szCs w:val="22"/>
          <w:lang w:val="en-US"/>
        </w:rPr>
        <w:t>with one source.</w:t>
      </w:r>
      <w:r w:rsidR="00582E85">
        <w:rPr>
          <w:rFonts w:cs="Calibri"/>
          <w:szCs w:val="22"/>
          <w:lang w:val="en-US"/>
        </w:rPr>
        <w:t xml:space="preserve"> </w:t>
      </w:r>
      <w:r w:rsidR="00B266FE">
        <w:rPr>
          <w:rFonts w:cs="Calibri"/>
          <w:szCs w:val="22"/>
          <w:lang w:val="en-US"/>
        </w:rPr>
        <w:t>Within the loop system of CEA the dependence of the emanation power from environmental parameters (relative humidity, pressure, temperature) is measured.</w:t>
      </w:r>
    </w:p>
    <w:p w14:paraId="2937440F" w14:textId="483ACD10" w:rsidR="00B266FE" w:rsidRDefault="00B266FE" w:rsidP="00EA647D">
      <w:pPr>
        <w:autoSpaceDE w:val="0"/>
        <w:autoSpaceDN w:val="0"/>
        <w:adjustRightInd w:val="0"/>
        <w:spacing w:after="0" w:line="240" w:lineRule="auto"/>
        <w:jc w:val="both"/>
        <w:rPr>
          <w:rFonts w:cs="Calibri"/>
          <w:szCs w:val="22"/>
          <w:lang w:val="en-US"/>
        </w:rPr>
      </w:pPr>
    </w:p>
    <w:p w14:paraId="12D9C1F2" w14:textId="119FB9FD" w:rsidR="00B266FE" w:rsidRDefault="00B266FE" w:rsidP="00EA647D">
      <w:pPr>
        <w:autoSpaceDE w:val="0"/>
        <w:autoSpaceDN w:val="0"/>
        <w:adjustRightInd w:val="0"/>
        <w:spacing w:after="0" w:line="240" w:lineRule="auto"/>
        <w:jc w:val="both"/>
        <w:rPr>
          <w:rFonts w:cs="Calibri"/>
          <w:szCs w:val="22"/>
          <w:lang w:val="en-US"/>
        </w:rPr>
      </w:pPr>
      <w:r>
        <w:rPr>
          <w:rFonts w:cs="Calibri"/>
          <w:szCs w:val="22"/>
          <w:lang w:val="en-US"/>
        </w:rPr>
        <w:t xml:space="preserve">At CMI with support from SUJCHBO, a </w:t>
      </w:r>
      <w:r w:rsidRPr="00EA647D">
        <w:rPr>
          <w:rFonts w:cs="Calibri"/>
          <w:szCs w:val="22"/>
          <w:vertAlign w:val="superscript"/>
          <w:lang w:val="en-US"/>
        </w:rPr>
        <w:t>222</w:t>
      </w:r>
      <w:r>
        <w:rPr>
          <w:rFonts w:cs="Calibri"/>
          <w:szCs w:val="22"/>
          <w:lang w:val="en-US"/>
        </w:rPr>
        <w:t>Rn emanation source is developed based on an emulsion of salts of fatty acids in silicone rubber that are allowed to p</w:t>
      </w:r>
      <w:r w:rsidR="004C128B">
        <w:rPr>
          <w:rFonts w:cs="Calibri"/>
          <w:szCs w:val="22"/>
          <w:lang w:val="en-US"/>
        </w:rPr>
        <w:t xml:space="preserve">olymerize to a thin foil. The process is controlled by weighing </w:t>
      </w:r>
      <w:r w:rsidR="004C128B">
        <w:rPr>
          <w:rFonts w:cs="Calibri"/>
          <w:szCs w:val="22"/>
          <w:lang w:val="en-US"/>
        </w:rPr>
        <w:lastRenderedPageBreak/>
        <w:t xml:space="preserve">and </w:t>
      </w:r>
      <w:r w:rsidR="004C128B" w:rsidRPr="00EA647D">
        <w:rPr>
          <w:rFonts w:ascii="Symbol" w:hAnsi="Symbol" w:cs="Calibri"/>
          <w:szCs w:val="22"/>
          <w:lang w:val="en-US"/>
        </w:rPr>
        <w:t></w:t>
      </w:r>
      <w:r w:rsidR="004C128B">
        <w:rPr>
          <w:rFonts w:cs="Calibri"/>
          <w:szCs w:val="22"/>
          <w:lang w:val="en-US"/>
        </w:rPr>
        <w:t>-spectrometry.</w:t>
      </w:r>
      <w:r w:rsidR="004C128B" w:rsidRPr="00EA647D">
        <w:rPr>
          <w:rFonts w:cs="Calibri"/>
          <w:szCs w:val="22"/>
          <w:lang w:val="en-US"/>
        </w:rPr>
        <w:t xml:space="preserve"> The emanation coefficient of the source was determined by measuring the activity of the </w:t>
      </w:r>
      <w:r w:rsidR="004C128B" w:rsidRPr="00EA647D">
        <w:rPr>
          <w:rFonts w:cs="Calibri"/>
          <w:szCs w:val="22"/>
          <w:vertAlign w:val="superscript"/>
          <w:lang w:val="en-US"/>
        </w:rPr>
        <w:t>222</w:t>
      </w:r>
      <w:r w:rsidR="004C128B">
        <w:rPr>
          <w:rFonts w:cs="Calibri"/>
          <w:szCs w:val="22"/>
          <w:lang w:val="en-US"/>
        </w:rPr>
        <w:t xml:space="preserve">Rn </w:t>
      </w:r>
      <w:r w:rsidR="004C128B" w:rsidRPr="00EA647D">
        <w:rPr>
          <w:rFonts w:cs="Calibri"/>
          <w:szCs w:val="22"/>
          <w:lang w:val="en-US"/>
        </w:rPr>
        <w:t>daughter</w:t>
      </w:r>
      <w:r w:rsidR="004C128B">
        <w:rPr>
          <w:rFonts w:cs="Calibri"/>
          <w:szCs w:val="22"/>
          <w:lang w:val="en-US"/>
        </w:rPr>
        <w:t xml:space="preserve"> </w:t>
      </w:r>
      <w:r w:rsidR="004C128B" w:rsidRPr="00EA647D">
        <w:rPr>
          <w:rFonts w:cs="Calibri"/>
          <w:szCs w:val="22"/>
          <w:lang w:val="en-US"/>
        </w:rPr>
        <w:t>products (</w:t>
      </w:r>
      <w:r w:rsidR="004C128B" w:rsidRPr="00EA647D">
        <w:rPr>
          <w:rFonts w:cs="Calibri"/>
          <w:szCs w:val="22"/>
          <w:vertAlign w:val="superscript"/>
          <w:lang w:val="en-US"/>
        </w:rPr>
        <w:t>214</w:t>
      </w:r>
      <w:r w:rsidR="004C128B">
        <w:rPr>
          <w:rFonts w:cs="Calibri"/>
          <w:szCs w:val="22"/>
          <w:lang w:val="en-US"/>
        </w:rPr>
        <w:t>Pb/</w:t>
      </w:r>
      <w:r w:rsidR="004C128B" w:rsidRPr="00EA647D">
        <w:rPr>
          <w:rFonts w:cs="Calibri"/>
          <w:szCs w:val="22"/>
          <w:vertAlign w:val="superscript"/>
          <w:lang w:val="en-US"/>
        </w:rPr>
        <w:t>214</w:t>
      </w:r>
      <w:r w:rsidR="004C128B">
        <w:rPr>
          <w:rFonts w:cs="Calibri"/>
          <w:szCs w:val="22"/>
          <w:lang w:val="en-US"/>
        </w:rPr>
        <w:t>Bi</w:t>
      </w:r>
      <w:r w:rsidR="004C128B" w:rsidRPr="00EA647D">
        <w:rPr>
          <w:rFonts w:cs="Calibri"/>
          <w:szCs w:val="22"/>
          <w:lang w:val="en-US"/>
        </w:rPr>
        <w:t xml:space="preserve">) and the activity of </w:t>
      </w:r>
      <w:r w:rsidR="004C128B" w:rsidRPr="00EA647D">
        <w:rPr>
          <w:rFonts w:cs="Calibri"/>
          <w:szCs w:val="22"/>
          <w:vertAlign w:val="superscript"/>
          <w:lang w:val="en-US"/>
        </w:rPr>
        <w:t>226</w:t>
      </w:r>
      <w:r w:rsidR="004C128B">
        <w:rPr>
          <w:rFonts w:cs="Calibri"/>
          <w:szCs w:val="22"/>
          <w:lang w:val="en-US"/>
        </w:rPr>
        <w:t>Ra</w:t>
      </w:r>
      <w:r w:rsidR="004C128B" w:rsidRPr="00EA647D">
        <w:rPr>
          <w:rFonts w:cs="Calibri"/>
          <w:szCs w:val="22"/>
          <w:lang w:val="en-US"/>
        </w:rPr>
        <w:t xml:space="preserve"> and was almost equal 1. The detection efficiency of the gamma</w:t>
      </w:r>
      <w:r w:rsidR="004C128B">
        <w:rPr>
          <w:rFonts w:cs="Calibri"/>
          <w:szCs w:val="22"/>
          <w:lang w:val="en-US"/>
        </w:rPr>
        <w:t xml:space="preserve"> </w:t>
      </w:r>
      <w:r w:rsidR="004C128B" w:rsidRPr="00EA647D">
        <w:rPr>
          <w:rFonts w:cs="Calibri"/>
          <w:szCs w:val="22"/>
          <w:lang w:val="en-US"/>
        </w:rPr>
        <w:t>photons was calculated by the MCNP code.</w:t>
      </w:r>
      <w:r w:rsidR="004C128B">
        <w:rPr>
          <w:rFonts w:cs="Calibri"/>
          <w:szCs w:val="22"/>
          <w:lang w:val="en-US"/>
        </w:rPr>
        <w:t xml:space="preserve"> The activity of </w:t>
      </w:r>
      <w:r w:rsidR="004C128B" w:rsidRPr="00EA647D">
        <w:rPr>
          <w:rFonts w:cs="Calibri"/>
          <w:szCs w:val="22"/>
          <w:vertAlign w:val="superscript"/>
          <w:lang w:val="en-US"/>
        </w:rPr>
        <w:t>226</w:t>
      </w:r>
      <w:r w:rsidR="004C128B">
        <w:rPr>
          <w:rFonts w:cs="Calibri"/>
          <w:szCs w:val="22"/>
          <w:lang w:val="en-US"/>
        </w:rPr>
        <w:t>Ra within one stainless steel container i</w:t>
      </w:r>
      <w:r w:rsidR="00131662">
        <w:rPr>
          <w:rFonts w:cs="Calibri"/>
          <w:szCs w:val="22"/>
          <w:lang w:val="en-US"/>
        </w:rPr>
        <w:t>n the order of</w:t>
      </w:r>
      <w:r w:rsidR="004C128B">
        <w:rPr>
          <w:rFonts w:cs="Calibri"/>
          <w:szCs w:val="22"/>
          <w:lang w:val="en-US"/>
        </w:rPr>
        <w:t xml:space="preserve"> 5 kBq.</w:t>
      </w:r>
      <w:r w:rsidR="00131662">
        <w:rPr>
          <w:rFonts w:cs="Calibri"/>
          <w:szCs w:val="22"/>
          <w:lang w:val="en-US"/>
        </w:rPr>
        <w:t xml:space="preserve"> Together with an aged air pressure vessel and a calibrated mass flow controller of type Bronkhorst EL-Flow</w:t>
      </w:r>
      <w:r w:rsidR="00C04D2F">
        <w:rPr>
          <w:rStyle w:val="FootnoteReference"/>
          <w:rFonts w:cs="Calibri"/>
          <w:szCs w:val="22"/>
          <w:lang w:val="en-US"/>
        </w:rPr>
        <w:footnoteReference w:id="1"/>
      </w:r>
      <w:r w:rsidR="00C04D2F">
        <w:rPr>
          <w:rFonts w:cs="Calibri"/>
          <w:szCs w:val="22"/>
          <w:lang w:val="en-US"/>
        </w:rPr>
        <w:t>, t</w:t>
      </w:r>
      <w:r w:rsidR="00131662">
        <w:rPr>
          <w:rFonts w:cs="Calibri"/>
          <w:szCs w:val="22"/>
          <w:lang w:val="en-US"/>
        </w:rPr>
        <w:t xml:space="preserve">hese sources are used, to dilute the radon flux of 0.010 Bq/s, to achieve the desired activity concentration range. Due to the regulation of the dilution with the help of the mass flow controller, the activity concentration can be changed </w:t>
      </w:r>
      <w:r w:rsidR="00D4724A">
        <w:rPr>
          <w:rFonts w:cs="Calibri"/>
          <w:szCs w:val="22"/>
          <w:lang w:val="en-US"/>
        </w:rPr>
        <w:t>in short time. With this scheme there is no need to wait for radioactive equilibrium.</w:t>
      </w:r>
    </w:p>
    <w:p w14:paraId="3E427F70" w14:textId="181FCA06" w:rsidR="00D4724A" w:rsidRDefault="00D4724A" w:rsidP="00EA647D">
      <w:pPr>
        <w:autoSpaceDE w:val="0"/>
        <w:autoSpaceDN w:val="0"/>
        <w:adjustRightInd w:val="0"/>
        <w:spacing w:after="0" w:line="240" w:lineRule="auto"/>
        <w:jc w:val="both"/>
        <w:rPr>
          <w:rFonts w:cs="Calibri"/>
          <w:szCs w:val="22"/>
          <w:lang w:val="en-US"/>
        </w:rPr>
      </w:pPr>
    </w:p>
    <w:p w14:paraId="169615F5" w14:textId="3BB22D14" w:rsidR="00D4724A" w:rsidRDefault="00FB1CE4" w:rsidP="00EA647D">
      <w:pPr>
        <w:autoSpaceDE w:val="0"/>
        <w:autoSpaceDN w:val="0"/>
        <w:adjustRightInd w:val="0"/>
        <w:spacing w:after="0" w:line="240" w:lineRule="auto"/>
        <w:jc w:val="both"/>
        <w:rPr>
          <w:rFonts w:cs="Calibri"/>
          <w:szCs w:val="22"/>
          <w:lang w:val="en-US"/>
        </w:rPr>
      </w:pPr>
      <w:r>
        <w:rPr>
          <w:rFonts w:cs="Calibri"/>
          <w:szCs w:val="22"/>
          <w:lang w:val="en-US"/>
        </w:rPr>
        <w:t>The different types of radon activity standards have been compared during several intercomparison exercises.</w:t>
      </w:r>
    </w:p>
    <w:p w14:paraId="3D783122" w14:textId="6DFF3C9A" w:rsidR="00FB1CE4" w:rsidRDefault="00FB1CE4" w:rsidP="00EA647D">
      <w:pPr>
        <w:autoSpaceDE w:val="0"/>
        <w:autoSpaceDN w:val="0"/>
        <w:adjustRightInd w:val="0"/>
        <w:spacing w:after="0" w:line="240" w:lineRule="auto"/>
        <w:jc w:val="both"/>
        <w:rPr>
          <w:rFonts w:cs="Calibri"/>
          <w:szCs w:val="22"/>
          <w:lang w:val="en-US"/>
        </w:rPr>
      </w:pPr>
      <w:r>
        <w:rPr>
          <w:rFonts w:cs="Calibri"/>
          <w:szCs w:val="22"/>
          <w:lang w:val="en-US"/>
        </w:rPr>
        <w:t>The agreement of the results was within the assigned uncertainty. Still some discrepancies could be observed between the open circuit scheme and the closed volume measurements. Due to traveling restrictions, these inconsistencies could not be resolved by now and need further investigation, including the in-air flow measurement system developed at CEA.</w:t>
      </w:r>
    </w:p>
    <w:p w14:paraId="79468FE9" w14:textId="7C482A62" w:rsidR="00CD7E34" w:rsidRPr="00CD7E34" w:rsidRDefault="00CD7E34" w:rsidP="00EA647D">
      <w:pPr>
        <w:autoSpaceDE w:val="0"/>
        <w:autoSpaceDN w:val="0"/>
        <w:adjustRightInd w:val="0"/>
        <w:spacing w:after="0" w:line="240" w:lineRule="auto"/>
        <w:jc w:val="both"/>
        <w:rPr>
          <w:rFonts w:cs="Calibri"/>
          <w:szCs w:val="22"/>
          <w:lang w:val="en-US"/>
        </w:rPr>
      </w:pPr>
      <w:r w:rsidRPr="00CD7E34">
        <w:rPr>
          <w:rFonts w:cs="Calibri"/>
          <w:szCs w:val="22"/>
          <w:lang w:val="en-US"/>
        </w:rPr>
        <w:t xml:space="preserve">The method for generating a reference atmosphere for </w:t>
      </w:r>
      <w:r w:rsidRPr="00EA647D">
        <w:rPr>
          <w:rFonts w:cs="Calibri"/>
          <w:szCs w:val="22"/>
          <w:vertAlign w:val="superscript"/>
          <w:lang w:val="en-US"/>
        </w:rPr>
        <w:t>220</w:t>
      </w:r>
      <w:r w:rsidRPr="00CD7E34">
        <w:rPr>
          <w:rFonts w:cs="Calibri"/>
          <w:szCs w:val="22"/>
          <w:lang w:val="en-US"/>
        </w:rPr>
        <w:t>Rn characteri</w:t>
      </w:r>
      <w:r>
        <w:rPr>
          <w:rFonts w:cs="Calibri"/>
          <w:szCs w:val="22"/>
          <w:lang w:val="en-US"/>
        </w:rPr>
        <w:t>z</w:t>
      </w:r>
      <w:r w:rsidRPr="00CD7E34">
        <w:rPr>
          <w:rFonts w:cs="Calibri"/>
          <w:szCs w:val="22"/>
          <w:lang w:val="en-US"/>
        </w:rPr>
        <w:t xml:space="preserve">ed in terms of activity per unit volume requires a rapid activity transfer. This is achieved by rapidly transferring the </w:t>
      </w:r>
      <w:r w:rsidRPr="00EA647D">
        <w:rPr>
          <w:rFonts w:cs="Calibri"/>
          <w:szCs w:val="22"/>
          <w:vertAlign w:val="superscript"/>
          <w:lang w:val="en-US"/>
        </w:rPr>
        <w:t>220</w:t>
      </w:r>
      <w:r>
        <w:rPr>
          <w:rFonts w:cs="Calibri"/>
          <w:szCs w:val="22"/>
          <w:lang w:val="en-US"/>
        </w:rPr>
        <w:t>Rn</w:t>
      </w:r>
      <w:r w:rsidRPr="00CD7E34">
        <w:rPr>
          <w:rFonts w:cs="Calibri"/>
          <w:szCs w:val="22"/>
          <w:lang w:val="en-US"/>
        </w:rPr>
        <w:t xml:space="preserve"> gas emanated from an open thin source of </w:t>
      </w:r>
      <w:r w:rsidRPr="00EA647D">
        <w:rPr>
          <w:rFonts w:cs="Calibri"/>
          <w:szCs w:val="22"/>
          <w:vertAlign w:val="superscript"/>
          <w:lang w:val="en-US"/>
        </w:rPr>
        <w:t>228</w:t>
      </w:r>
      <w:r w:rsidRPr="00CD7E34">
        <w:rPr>
          <w:rFonts w:cs="Calibri"/>
          <w:szCs w:val="22"/>
          <w:lang w:val="en-US"/>
        </w:rPr>
        <w:t>Th (prepared by electr</w:t>
      </w:r>
      <w:r>
        <w:rPr>
          <w:rFonts w:cs="Calibri"/>
          <w:szCs w:val="22"/>
          <w:lang w:val="en-US"/>
        </w:rPr>
        <w:t>olysis</w:t>
      </w:r>
      <w:r w:rsidRPr="00CD7E34">
        <w:rPr>
          <w:rFonts w:cs="Calibri"/>
          <w:szCs w:val="22"/>
          <w:lang w:val="en-US"/>
        </w:rPr>
        <w:t>) into the reference volume</w:t>
      </w:r>
    </w:p>
    <w:p w14:paraId="73C4DEF2" w14:textId="32F4FCDB" w:rsidR="00CD7E34" w:rsidRDefault="00CD7E34" w:rsidP="00EA647D">
      <w:pPr>
        <w:autoSpaceDE w:val="0"/>
        <w:autoSpaceDN w:val="0"/>
        <w:adjustRightInd w:val="0"/>
        <w:spacing w:after="0" w:line="240" w:lineRule="auto"/>
        <w:jc w:val="both"/>
        <w:rPr>
          <w:rFonts w:cs="Calibri"/>
          <w:szCs w:val="22"/>
          <w:lang w:val="en-US"/>
        </w:rPr>
      </w:pPr>
      <w:r w:rsidRPr="00CD7E34">
        <w:rPr>
          <w:rFonts w:cs="Calibri"/>
          <w:szCs w:val="22"/>
          <w:lang w:val="en-US"/>
        </w:rPr>
        <w:t>(Röttger et. al.</w:t>
      </w:r>
      <w:r w:rsidR="000F2360">
        <w:rPr>
          <w:rFonts w:cs="Calibri"/>
          <w:szCs w:val="22"/>
          <w:lang w:val="en-US"/>
        </w:rPr>
        <w:t>,2010)</w:t>
      </w:r>
      <w:r>
        <w:rPr>
          <w:rFonts w:cs="Calibri"/>
          <w:szCs w:val="22"/>
          <w:lang w:val="en-US"/>
        </w:rPr>
        <w:t>.</w:t>
      </w:r>
    </w:p>
    <w:p w14:paraId="678AA781" w14:textId="205B1771" w:rsidR="00CB196C" w:rsidRDefault="00CB196C" w:rsidP="00CD7E34">
      <w:pPr>
        <w:autoSpaceDE w:val="0"/>
        <w:autoSpaceDN w:val="0"/>
        <w:adjustRightInd w:val="0"/>
        <w:spacing w:after="0" w:line="240" w:lineRule="auto"/>
        <w:rPr>
          <w:rFonts w:cs="Calibri"/>
          <w:szCs w:val="22"/>
          <w:lang w:val="en-US"/>
        </w:rPr>
      </w:pPr>
    </w:p>
    <w:p w14:paraId="619F15A7" w14:textId="77777777" w:rsidR="00CB196C" w:rsidRPr="00DD3394" w:rsidRDefault="00CB196C" w:rsidP="00CD7E34">
      <w:pPr>
        <w:autoSpaceDE w:val="0"/>
        <w:autoSpaceDN w:val="0"/>
        <w:adjustRightInd w:val="0"/>
        <w:spacing w:after="0" w:line="240" w:lineRule="auto"/>
        <w:rPr>
          <w:rFonts w:cs="Calibri"/>
          <w:szCs w:val="22"/>
          <w:lang w:val="en-US"/>
        </w:rPr>
      </w:pPr>
    </w:p>
    <w:p w14:paraId="3353A598" w14:textId="4F590614" w:rsidR="00B266FE" w:rsidRDefault="00F27829" w:rsidP="00EA647D">
      <w:pPr>
        <w:pStyle w:val="Heading1"/>
        <w:rPr>
          <w:lang w:val="en-US"/>
        </w:rPr>
      </w:pPr>
      <w:bookmarkStart w:id="2" w:name="_Toc58936332"/>
      <w:r>
        <w:rPr>
          <w:lang w:val="en-US"/>
        </w:rPr>
        <w:t>3</w:t>
      </w:r>
      <w:r w:rsidR="00CB196C">
        <w:rPr>
          <w:lang w:val="en-US"/>
        </w:rPr>
        <w:t xml:space="preserve">. Procedures for the calibration </w:t>
      </w:r>
      <w:r w:rsidR="00CB196C" w:rsidRPr="00CB196C">
        <w:rPr>
          <w:lang w:val="en-US"/>
        </w:rPr>
        <w:t>of radon measurement instruments at low activity concentrations</w:t>
      </w:r>
      <w:bookmarkEnd w:id="2"/>
    </w:p>
    <w:p w14:paraId="6CAC0D6A" w14:textId="6C2D78F3" w:rsidR="008B705D" w:rsidRPr="008B705D" w:rsidRDefault="00F27829" w:rsidP="000F2360">
      <w:pPr>
        <w:pStyle w:val="Heading2"/>
        <w:rPr>
          <w:b w:val="0"/>
          <w:bCs w:val="0"/>
          <w:lang w:val="en-US"/>
        </w:rPr>
      </w:pPr>
      <w:bookmarkStart w:id="3" w:name="_Toc54953045"/>
      <w:bookmarkStart w:id="4" w:name="_Toc54953429"/>
      <w:bookmarkStart w:id="5" w:name="_Toc54953545"/>
      <w:bookmarkStart w:id="6" w:name="_Toc54953639"/>
      <w:bookmarkStart w:id="7" w:name="_Toc54953842"/>
      <w:bookmarkStart w:id="8" w:name="_Toc54953046"/>
      <w:bookmarkStart w:id="9" w:name="_Toc54953430"/>
      <w:bookmarkStart w:id="10" w:name="_Toc54953546"/>
      <w:bookmarkStart w:id="11" w:name="_Toc54953640"/>
      <w:bookmarkStart w:id="12" w:name="_Toc54953843"/>
      <w:bookmarkStart w:id="13" w:name="_Toc54953047"/>
      <w:bookmarkStart w:id="14" w:name="_Toc54953431"/>
      <w:bookmarkStart w:id="15" w:name="_Toc54953547"/>
      <w:bookmarkStart w:id="16" w:name="_Toc54953641"/>
      <w:bookmarkStart w:id="17" w:name="_Toc54953844"/>
      <w:bookmarkStart w:id="18" w:name="_Toc54953048"/>
      <w:bookmarkStart w:id="19" w:name="_Toc54953432"/>
      <w:bookmarkStart w:id="20" w:name="_Toc54953548"/>
      <w:bookmarkStart w:id="21" w:name="_Toc54953642"/>
      <w:bookmarkStart w:id="22" w:name="_Toc54953845"/>
      <w:bookmarkStart w:id="23" w:name="_Toc54953049"/>
      <w:bookmarkStart w:id="24" w:name="_Toc54953433"/>
      <w:bookmarkStart w:id="25" w:name="_Toc54953549"/>
      <w:bookmarkStart w:id="26" w:name="_Toc54953643"/>
      <w:bookmarkStart w:id="27" w:name="_Toc54953846"/>
      <w:bookmarkStart w:id="28" w:name="_Toc54953050"/>
      <w:bookmarkStart w:id="29" w:name="_Toc54953434"/>
      <w:bookmarkStart w:id="30" w:name="_Toc54953550"/>
      <w:bookmarkStart w:id="31" w:name="_Toc54953644"/>
      <w:bookmarkStart w:id="32" w:name="_Toc54953847"/>
      <w:bookmarkStart w:id="33" w:name="_Toc54953051"/>
      <w:bookmarkStart w:id="34" w:name="_Toc54953435"/>
      <w:bookmarkStart w:id="35" w:name="_Toc54953551"/>
      <w:bookmarkStart w:id="36" w:name="_Toc54953645"/>
      <w:bookmarkStart w:id="37" w:name="_Toc54953848"/>
      <w:bookmarkStart w:id="38" w:name="_Toc54953052"/>
      <w:bookmarkStart w:id="39" w:name="_Toc54953436"/>
      <w:bookmarkStart w:id="40" w:name="_Toc54953552"/>
      <w:bookmarkStart w:id="41" w:name="_Toc54953646"/>
      <w:bookmarkStart w:id="42" w:name="_Toc54953849"/>
      <w:bookmarkStart w:id="43" w:name="_Toc54953053"/>
      <w:bookmarkStart w:id="44" w:name="_Toc54953437"/>
      <w:bookmarkStart w:id="45" w:name="_Toc54953553"/>
      <w:bookmarkStart w:id="46" w:name="_Toc54953647"/>
      <w:bookmarkStart w:id="47" w:name="_Toc54953850"/>
      <w:bookmarkStart w:id="48" w:name="_Toc54953054"/>
      <w:bookmarkStart w:id="49" w:name="_Toc54953438"/>
      <w:bookmarkStart w:id="50" w:name="_Toc54953554"/>
      <w:bookmarkStart w:id="51" w:name="_Toc54953648"/>
      <w:bookmarkStart w:id="52" w:name="_Toc54953851"/>
      <w:bookmarkStart w:id="53" w:name="_Toc54955283"/>
      <w:bookmarkStart w:id="54" w:name="_Toc54955372"/>
      <w:bookmarkStart w:id="55" w:name="_Toc54955460"/>
      <w:bookmarkStart w:id="56" w:name="_Toc54955638"/>
      <w:bookmarkStart w:id="57" w:name="_Toc54955728"/>
      <w:bookmarkStart w:id="58" w:name="_Toc54955284"/>
      <w:bookmarkStart w:id="59" w:name="_Toc54955373"/>
      <w:bookmarkStart w:id="60" w:name="_Toc54955461"/>
      <w:bookmarkStart w:id="61" w:name="_Toc54955639"/>
      <w:bookmarkStart w:id="62" w:name="_Toc54955729"/>
      <w:bookmarkStart w:id="63" w:name="_Toc54955816"/>
      <w:bookmarkStart w:id="64" w:name="_Toc54955903"/>
      <w:bookmarkStart w:id="65" w:name="_Toc54955990"/>
      <w:bookmarkStart w:id="66" w:name="_Toc54956010"/>
      <w:bookmarkStart w:id="67" w:name="_Toc54956029"/>
      <w:bookmarkStart w:id="68" w:name="_Toc54956048"/>
      <w:bookmarkStart w:id="69" w:name="_Toc54956066"/>
      <w:bookmarkStart w:id="70" w:name="_Toc54955285"/>
      <w:bookmarkStart w:id="71" w:name="_Toc54955374"/>
      <w:bookmarkStart w:id="72" w:name="_Toc54955462"/>
      <w:bookmarkStart w:id="73" w:name="_Toc54955640"/>
      <w:bookmarkStart w:id="74" w:name="_Toc54955730"/>
      <w:bookmarkStart w:id="75" w:name="_Toc54955817"/>
      <w:bookmarkStart w:id="76" w:name="_Toc54955904"/>
      <w:bookmarkStart w:id="77" w:name="_Toc54955991"/>
      <w:bookmarkStart w:id="78" w:name="_Toc54956011"/>
      <w:bookmarkStart w:id="79" w:name="_Toc54956030"/>
      <w:bookmarkStart w:id="80" w:name="_Toc54956049"/>
      <w:bookmarkStart w:id="81" w:name="_Toc54956067"/>
      <w:bookmarkStart w:id="82" w:name="_Toc54955286"/>
      <w:bookmarkStart w:id="83" w:name="_Toc54955375"/>
      <w:bookmarkStart w:id="84" w:name="_Toc54955463"/>
      <w:bookmarkStart w:id="85" w:name="_Toc54955641"/>
      <w:bookmarkStart w:id="86" w:name="_Toc54955731"/>
      <w:bookmarkStart w:id="87" w:name="_Toc54955818"/>
      <w:bookmarkStart w:id="88" w:name="_Toc54955905"/>
      <w:bookmarkStart w:id="89" w:name="_Toc54955992"/>
      <w:bookmarkStart w:id="90" w:name="_Toc54956012"/>
      <w:bookmarkStart w:id="91" w:name="_Toc54956031"/>
      <w:bookmarkStart w:id="92" w:name="_Toc54956050"/>
      <w:bookmarkStart w:id="93" w:name="_Toc54956068"/>
      <w:bookmarkStart w:id="94" w:name="_Toc5893633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lang w:val="en-US"/>
        </w:rPr>
        <w:t>3</w:t>
      </w:r>
      <w:r w:rsidR="008B705D" w:rsidRPr="008B705D">
        <w:rPr>
          <w:lang w:val="en-US"/>
        </w:rPr>
        <w:t>.</w:t>
      </w:r>
      <w:r w:rsidR="000F2360">
        <w:rPr>
          <w:lang w:val="en-US"/>
        </w:rPr>
        <w:t>1</w:t>
      </w:r>
      <w:r w:rsidR="008B705D" w:rsidRPr="008B705D">
        <w:rPr>
          <w:lang w:val="en-US"/>
        </w:rPr>
        <w:t xml:space="preserve"> Technical equipment and accessories</w:t>
      </w:r>
      <w:bookmarkEnd w:id="94"/>
    </w:p>
    <w:p w14:paraId="45D97538" w14:textId="7889417B" w:rsidR="008B705D" w:rsidRPr="00467F6C" w:rsidRDefault="00467F6C" w:rsidP="00467F6C">
      <w:pPr>
        <w:pStyle w:val="ListParagraph"/>
        <w:numPr>
          <w:ilvl w:val="0"/>
          <w:numId w:val="35"/>
        </w:numPr>
        <w:spacing w:before="120" w:after="120"/>
        <w:ind w:left="357" w:hanging="357"/>
        <w:contextualSpacing w:val="0"/>
        <w:jc w:val="both"/>
        <w:rPr>
          <w:lang w:val="en-US"/>
        </w:rPr>
      </w:pPr>
      <w:r w:rsidRPr="00467F6C">
        <w:rPr>
          <w:lang w:val="en-US"/>
        </w:rPr>
        <w:t>Ca</w:t>
      </w:r>
      <w:r w:rsidR="008B705D" w:rsidRPr="00467F6C">
        <w:rPr>
          <w:lang w:val="en-US"/>
        </w:rPr>
        <w:t>librations of instruments shall be carried out in a radon chamber. The volume of the chamber should be large enough to enable calibrations of several instruments at once. Calibration objects are brought into the volume through an opening of sufficient size.</w:t>
      </w:r>
    </w:p>
    <w:p w14:paraId="448AFD5D" w14:textId="77777777" w:rsidR="008B705D" w:rsidRPr="00467F6C" w:rsidRDefault="008B705D" w:rsidP="00467F6C">
      <w:pPr>
        <w:pStyle w:val="ListParagraph"/>
        <w:numPr>
          <w:ilvl w:val="0"/>
          <w:numId w:val="35"/>
        </w:numPr>
        <w:spacing w:before="120" w:after="120"/>
        <w:ind w:left="357" w:hanging="357"/>
        <w:contextualSpacing w:val="0"/>
        <w:jc w:val="both"/>
        <w:rPr>
          <w:lang w:val="en-US"/>
        </w:rPr>
      </w:pPr>
      <w:r w:rsidRPr="00467F6C">
        <w:rPr>
          <w:lang w:val="en-US"/>
        </w:rPr>
        <w:t>The radon chamber must have a feedthrough for the radon supply and a gas outlet. Each feedthrough must be equipped with a valve to control the connection to the environment or external components.</w:t>
      </w:r>
    </w:p>
    <w:p w14:paraId="1C40F116" w14:textId="77777777" w:rsidR="008B705D" w:rsidRPr="00467F6C" w:rsidRDefault="008B705D" w:rsidP="00467F6C">
      <w:pPr>
        <w:pStyle w:val="ListParagraph"/>
        <w:numPr>
          <w:ilvl w:val="0"/>
          <w:numId w:val="35"/>
        </w:numPr>
        <w:spacing w:before="120" w:after="120"/>
        <w:ind w:left="357" w:hanging="357"/>
        <w:contextualSpacing w:val="0"/>
        <w:jc w:val="both"/>
        <w:rPr>
          <w:lang w:val="en-US"/>
        </w:rPr>
      </w:pPr>
      <w:r w:rsidRPr="00467F6C">
        <w:rPr>
          <w:lang w:val="en-US"/>
        </w:rPr>
        <w:t>The radon chamber should be equipped with sufficient electrical feedthroughs to supply electrical power to calibration objects or electrical equipment within the chamber.</w:t>
      </w:r>
    </w:p>
    <w:p w14:paraId="43759DF1" w14:textId="77777777" w:rsidR="008B705D" w:rsidRPr="00467F6C" w:rsidRDefault="008B705D" w:rsidP="00467F6C">
      <w:pPr>
        <w:pStyle w:val="ListParagraph"/>
        <w:numPr>
          <w:ilvl w:val="0"/>
          <w:numId w:val="35"/>
        </w:numPr>
        <w:spacing w:before="120" w:after="120"/>
        <w:ind w:left="357" w:hanging="357"/>
        <w:contextualSpacing w:val="0"/>
        <w:jc w:val="both"/>
        <w:rPr>
          <w:lang w:val="en-US"/>
        </w:rPr>
      </w:pPr>
      <w:r w:rsidRPr="00467F6C">
        <w:rPr>
          <w:lang w:val="en-US"/>
        </w:rPr>
        <w:t>Chamber walls and equipment must be electrically grounded to ensure protection against electric shock and to avoid electrostatic potential differences inside the chamber.</w:t>
      </w:r>
    </w:p>
    <w:p w14:paraId="2FD3C4E0" w14:textId="0FAAF836" w:rsidR="008B705D" w:rsidRPr="00467F6C" w:rsidRDefault="008B705D" w:rsidP="00467F6C">
      <w:pPr>
        <w:pStyle w:val="ListParagraph"/>
        <w:numPr>
          <w:ilvl w:val="0"/>
          <w:numId w:val="35"/>
        </w:numPr>
        <w:spacing w:before="120" w:after="120"/>
        <w:ind w:left="357" w:hanging="357"/>
        <w:contextualSpacing w:val="0"/>
        <w:jc w:val="both"/>
        <w:rPr>
          <w:lang w:val="en-US"/>
        </w:rPr>
      </w:pPr>
      <w:r w:rsidRPr="00467F6C">
        <w:rPr>
          <w:lang w:val="en-US"/>
        </w:rPr>
        <w:t>The tightness of the radon chamber must be sufficient f</w:t>
      </w:r>
      <w:r w:rsidR="00C64960">
        <w:rPr>
          <w:lang w:val="en-US"/>
        </w:rPr>
        <w:t>or the calibration method used</w:t>
      </w:r>
      <w:r w:rsidRPr="00467F6C">
        <w:rPr>
          <w:lang w:val="en-US"/>
        </w:rPr>
        <w:t>. Leakages must not significantly affect the stability of the radon atmosphere.</w:t>
      </w:r>
    </w:p>
    <w:p w14:paraId="7DC1AA30" w14:textId="77777777" w:rsidR="008B705D" w:rsidRPr="00467F6C" w:rsidRDefault="008B705D" w:rsidP="00467F6C">
      <w:pPr>
        <w:pStyle w:val="ListParagraph"/>
        <w:numPr>
          <w:ilvl w:val="0"/>
          <w:numId w:val="35"/>
        </w:numPr>
        <w:spacing w:before="120" w:after="120"/>
        <w:ind w:left="357" w:hanging="357"/>
        <w:contextualSpacing w:val="0"/>
        <w:jc w:val="both"/>
        <w:rPr>
          <w:lang w:val="en-US"/>
        </w:rPr>
      </w:pPr>
      <w:r w:rsidRPr="00467F6C">
        <w:rPr>
          <w:lang w:val="en-US"/>
        </w:rPr>
        <w:t>Thermal insulation of the radon chamber is recommended to minimize the influence of environmental conditions on the measurements. The radon chamber should not be directly exposed to solar radiation during the measurements.</w:t>
      </w:r>
    </w:p>
    <w:p w14:paraId="7BAB4AD8" w14:textId="3DECEF94" w:rsidR="008B705D" w:rsidRPr="00467F6C" w:rsidRDefault="008B705D" w:rsidP="00467F6C">
      <w:pPr>
        <w:pStyle w:val="ListParagraph"/>
        <w:numPr>
          <w:ilvl w:val="0"/>
          <w:numId w:val="35"/>
        </w:numPr>
        <w:spacing w:before="120" w:after="120"/>
        <w:ind w:left="357" w:hanging="357"/>
        <w:contextualSpacing w:val="0"/>
        <w:jc w:val="both"/>
        <w:rPr>
          <w:lang w:val="en-US"/>
        </w:rPr>
      </w:pPr>
      <w:r w:rsidRPr="00467F6C">
        <w:rPr>
          <w:lang w:val="en-US"/>
        </w:rPr>
        <w:t>The radon chamber shall be equipped with sensors to monitor temperature and air pressure. An additional sensor to monitor the air humidity is recommended.</w:t>
      </w:r>
    </w:p>
    <w:p w14:paraId="78F497FD" w14:textId="77777777" w:rsidR="008B705D" w:rsidRPr="00467F6C" w:rsidRDefault="008B705D" w:rsidP="00467F6C">
      <w:pPr>
        <w:pStyle w:val="ListParagraph"/>
        <w:numPr>
          <w:ilvl w:val="0"/>
          <w:numId w:val="35"/>
        </w:numPr>
        <w:spacing w:before="120" w:after="120"/>
        <w:ind w:left="357" w:hanging="357"/>
        <w:contextualSpacing w:val="0"/>
        <w:jc w:val="both"/>
        <w:rPr>
          <w:lang w:val="en-US"/>
        </w:rPr>
      </w:pPr>
      <w:r w:rsidRPr="00467F6C">
        <w:rPr>
          <w:lang w:val="en-US"/>
        </w:rPr>
        <w:lastRenderedPageBreak/>
        <w:t>It must be ensured that the radon introduced is evenly distributed in the air volume of the chamber. Calibration objects and equipment shall not cause a significant disturbance of the homogeneous distribution of radon. Make sure that the equipment inside the radon chamber is made of stainless steel. If other materials are used inside the radon chamber, it must be demonstrated that these materials do not absorb radon or have no effect on the distribution of radon in the volume of the chamber. The installation of fans can help to homogenize the distribution of radon. Where fans are used, the turbulence generated by them shall be moderate and shall not create local pressure differences that could affect the measurements.</w:t>
      </w:r>
    </w:p>
    <w:p w14:paraId="5A77B886" w14:textId="19117EFE" w:rsidR="008B705D" w:rsidRPr="008B705D" w:rsidRDefault="00F27829" w:rsidP="00EA647D">
      <w:pPr>
        <w:keepNext/>
        <w:keepLines/>
        <w:spacing w:before="200" w:after="100"/>
        <w:jc w:val="both"/>
        <w:outlineLvl w:val="1"/>
        <w:rPr>
          <w:rFonts w:eastAsiaTheme="majorEastAsia" w:cstheme="majorBidi"/>
          <w:b/>
          <w:bCs/>
          <w:szCs w:val="26"/>
          <w:lang w:val="en-US"/>
        </w:rPr>
      </w:pPr>
      <w:bookmarkStart w:id="95" w:name="_Toc58936334"/>
      <w:r>
        <w:rPr>
          <w:rFonts w:eastAsiaTheme="majorEastAsia" w:cstheme="majorBidi"/>
          <w:b/>
          <w:bCs/>
          <w:szCs w:val="26"/>
          <w:lang w:val="en-US"/>
        </w:rPr>
        <w:t>3.</w:t>
      </w:r>
      <w:r w:rsidR="00C64960">
        <w:rPr>
          <w:rFonts w:eastAsiaTheme="majorEastAsia" w:cstheme="majorBidi"/>
          <w:b/>
          <w:bCs/>
          <w:szCs w:val="26"/>
          <w:lang w:val="en-US"/>
        </w:rPr>
        <w:t>2</w:t>
      </w:r>
      <w:r w:rsidR="008B705D" w:rsidRPr="008B705D">
        <w:rPr>
          <w:rFonts w:eastAsiaTheme="majorEastAsia" w:cstheme="majorBidi"/>
          <w:b/>
          <w:bCs/>
          <w:szCs w:val="26"/>
          <w:lang w:val="en-US"/>
        </w:rPr>
        <w:t xml:space="preserve"> Sources and supply of radon</w:t>
      </w:r>
      <w:bookmarkEnd w:id="95"/>
    </w:p>
    <w:p w14:paraId="0DD51BE3" w14:textId="77777777" w:rsidR="008B705D" w:rsidRPr="00F27829" w:rsidRDefault="008B705D" w:rsidP="00F27829">
      <w:pPr>
        <w:pStyle w:val="ListParagraph"/>
        <w:numPr>
          <w:ilvl w:val="0"/>
          <w:numId w:val="37"/>
        </w:numPr>
        <w:spacing w:before="120" w:after="120"/>
        <w:ind w:left="714" w:hanging="357"/>
        <w:contextualSpacing w:val="0"/>
        <w:jc w:val="both"/>
        <w:rPr>
          <w:lang w:val="en-US"/>
        </w:rPr>
      </w:pPr>
      <w:r w:rsidRPr="00F27829">
        <w:rPr>
          <w:lang w:val="en-US"/>
        </w:rPr>
        <w:t>Radon sources must be able to create a radon atmosphere with an activity concentration in the range of 100 Bq/m³ to 300 Bq/m³ and to maintain this concentration constantly over a long period of time.</w:t>
      </w:r>
    </w:p>
    <w:p w14:paraId="4049E096" w14:textId="671E74D6" w:rsidR="008B705D" w:rsidRPr="00F27829" w:rsidRDefault="008B705D" w:rsidP="00F27829">
      <w:pPr>
        <w:pStyle w:val="ListParagraph"/>
        <w:numPr>
          <w:ilvl w:val="0"/>
          <w:numId w:val="37"/>
        </w:numPr>
        <w:spacing w:before="120" w:after="120"/>
        <w:ind w:left="714" w:hanging="357"/>
        <w:contextualSpacing w:val="0"/>
        <w:jc w:val="both"/>
        <w:rPr>
          <w:lang w:val="en-US"/>
        </w:rPr>
      </w:pPr>
      <w:r w:rsidRPr="00F27829">
        <w:rPr>
          <w:lang w:val="en-US"/>
        </w:rPr>
        <w:t xml:space="preserve">Radon emanation sources containing </w:t>
      </w:r>
      <w:r w:rsidR="005510FC" w:rsidRPr="005510FC">
        <w:rPr>
          <w:vertAlign w:val="superscript"/>
          <w:lang w:val="en-US"/>
        </w:rPr>
        <w:t>226</w:t>
      </w:r>
      <w:r w:rsidR="005510FC">
        <w:rPr>
          <w:lang w:val="en-US"/>
        </w:rPr>
        <w:t>Ra</w:t>
      </w:r>
      <w:r w:rsidRPr="00F27829">
        <w:rPr>
          <w:lang w:val="en-US"/>
        </w:rPr>
        <w:t xml:space="preserve"> salt bound in a solid matrix are recommended. The radon emanated in the source can be released directly into the free air volume of the radon chamber or transferred by an air stream.</w:t>
      </w:r>
    </w:p>
    <w:p w14:paraId="58860109" w14:textId="3BE536B7" w:rsidR="008B705D" w:rsidRPr="00F27829" w:rsidRDefault="008B705D" w:rsidP="00F27829">
      <w:pPr>
        <w:pStyle w:val="ListParagraph"/>
        <w:numPr>
          <w:ilvl w:val="0"/>
          <w:numId w:val="37"/>
        </w:numPr>
        <w:spacing w:before="120" w:after="120"/>
        <w:ind w:left="714" w:hanging="357"/>
        <w:contextualSpacing w:val="0"/>
        <w:jc w:val="both"/>
        <w:rPr>
          <w:lang w:val="en-US"/>
        </w:rPr>
      </w:pPr>
      <w:r w:rsidRPr="00F27829">
        <w:rPr>
          <w:lang w:val="en-US"/>
        </w:rPr>
        <w:t xml:space="preserve">The source shall provide with a certificate issued by an approved body indicating at least the </w:t>
      </w:r>
      <w:r w:rsidRPr="00582E85">
        <w:rPr>
          <w:vertAlign w:val="superscript"/>
          <w:lang w:val="en-US"/>
        </w:rPr>
        <w:t>226</w:t>
      </w:r>
      <w:r w:rsidR="009E0133">
        <w:rPr>
          <w:lang w:val="en-US"/>
        </w:rPr>
        <w:t>Ra</w:t>
      </w:r>
      <w:r w:rsidRPr="00F27829">
        <w:rPr>
          <w:lang w:val="en-US"/>
        </w:rPr>
        <w:t xml:space="preserve"> activity and the radon emanation rate. In addition, the certificate shall specify the ranges of temperature, pressure and humidity within which the stability of the radon emission rate is ensured and at which characteristics of the source do not change with repeated use.</w:t>
      </w:r>
    </w:p>
    <w:p w14:paraId="39E1D24B" w14:textId="77777777" w:rsidR="008B705D" w:rsidRPr="00F27829" w:rsidRDefault="008B705D" w:rsidP="00F27829">
      <w:pPr>
        <w:pStyle w:val="ListParagraph"/>
        <w:numPr>
          <w:ilvl w:val="0"/>
          <w:numId w:val="37"/>
        </w:numPr>
        <w:spacing w:before="120" w:after="120"/>
        <w:ind w:left="714" w:hanging="357"/>
        <w:contextualSpacing w:val="0"/>
        <w:jc w:val="both"/>
        <w:rPr>
          <w:lang w:val="en-US"/>
        </w:rPr>
      </w:pPr>
      <w:r w:rsidRPr="00F27829">
        <w:rPr>
          <w:lang w:val="en-US"/>
        </w:rPr>
        <w:t xml:space="preserve">If the emanation source is operated inside the radon chamber or in a closed loop with the radon chamber, the build-up and the final level of the radon activity concentration, </w:t>
      </w: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Rn</m:t>
            </m:r>
          </m:sub>
        </m:sSub>
      </m:oMath>
      <w:r w:rsidRPr="00F27829">
        <w:rPr>
          <w:rFonts w:eastAsiaTheme="minorEastAsia"/>
          <w:lang w:val="en-US"/>
        </w:rPr>
        <w:t xml:space="preserve">, </w:t>
      </w:r>
      <w:r w:rsidRPr="00F27829">
        <w:rPr>
          <w:lang w:val="en-US"/>
        </w:rPr>
        <w:t>is calculated by</w:t>
      </w:r>
    </w:p>
    <w:p w14:paraId="274D558C" w14:textId="77777777" w:rsidR="008B705D" w:rsidRPr="00F27829" w:rsidRDefault="00DE6656" w:rsidP="00F27829">
      <w:pPr>
        <w:pStyle w:val="ListParagraph"/>
        <w:spacing w:before="120" w:after="120"/>
        <w:ind w:left="714"/>
        <w:contextualSpacing w:val="0"/>
        <w:jc w:val="both"/>
        <w:rPr>
          <w:rFonts w:eastAsiaTheme="minorEastAsia"/>
          <w:lang w:val="en-US"/>
        </w:rPr>
      </w:pPr>
      <m:oMathPara>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Rn</m:t>
              </m:r>
            </m:sub>
          </m:sSub>
          <m:d>
            <m:dPr>
              <m:ctrlPr>
                <w:rPr>
                  <w:rFonts w:ascii="Cambria Math" w:hAnsi="Cambria Math"/>
                  <w:i/>
                  <w:lang w:val="en-US"/>
                </w:rPr>
              </m:ctrlPr>
            </m:dPr>
            <m:e>
              <m:r>
                <w:rPr>
                  <w:rFonts w:ascii="Cambria Math" w:hAnsi="Cambria Math"/>
                  <w:lang w:val="en-US"/>
                </w:rPr>
                <m:t>t</m:t>
              </m:r>
            </m:e>
          </m:d>
          <m:r>
            <w:rPr>
              <w:rFonts w:ascii="Cambria Math" w:hAnsi="Cambria Math"/>
              <w:lang w:val="en-US"/>
            </w:rPr>
            <m:t>=</m:t>
          </m:r>
          <m:f>
            <m:fPr>
              <m:ctrlPr>
                <w:rPr>
                  <w:rFonts w:ascii="Cambria Math" w:hAnsi="Cambria Math"/>
                  <w:i/>
                  <w:lang w:val="en-US"/>
                </w:rPr>
              </m:ctrlPr>
            </m:fPr>
            <m:num>
              <m:r>
                <w:rPr>
                  <w:rFonts w:ascii="Cambria Math" w:hAnsi="Cambria Math"/>
                  <w:lang w:val="en-US"/>
                </w:rPr>
                <m:t>ε</m:t>
              </m:r>
            </m:num>
            <m:den>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Rn</m:t>
                  </m:r>
                </m:sub>
              </m:sSub>
              <m:r>
                <w:rPr>
                  <w:rFonts w:ascii="Cambria Math" w:hAnsi="Cambria Math"/>
                  <w:lang w:val="en-US"/>
                </w:rPr>
                <m:t>V</m:t>
              </m:r>
            </m:den>
          </m:f>
          <m:d>
            <m:dPr>
              <m:ctrlPr>
                <w:rPr>
                  <w:rFonts w:ascii="Cambria Math" w:hAnsi="Cambria Math"/>
                  <w:i/>
                  <w:lang w:val="en-US"/>
                </w:rPr>
              </m:ctrlPr>
            </m:dPr>
            <m:e>
              <m:r>
                <w:rPr>
                  <w:rFonts w:ascii="Cambria Math" w:hAnsi="Cambria Math"/>
                  <w:lang w:val="en-US"/>
                </w:rPr>
                <m:t>1-</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Rn</m:t>
                      </m:r>
                    </m:sub>
                  </m:sSub>
                  <m:r>
                    <w:rPr>
                      <w:rFonts w:ascii="Cambria Math" w:hAnsi="Cambria Math"/>
                      <w:lang w:val="en-US"/>
                    </w:rPr>
                    <m:t>t</m:t>
                  </m:r>
                </m:sup>
              </m:sSup>
            </m:e>
          </m:d>
          <m:r>
            <w:rPr>
              <w:rFonts w:ascii="Cambria Math" w:hAnsi="Cambria Math"/>
              <w:lang w:val="en-US"/>
            </w:rPr>
            <m:t>,</m:t>
          </m:r>
        </m:oMath>
      </m:oMathPara>
    </w:p>
    <w:p w14:paraId="5CD7AE94" w14:textId="77777777" w:rsidR="008B705D" w:rsidRPr="00F27829" w:rsidRDefault="008B705D" w:rsidP="00F27829">
      <w:pPr>
        <w:pStyle w:val="ListParagraph"/>
        <w:spacing w:before="120" w:after="120"/>
        <w:ind w:left="714"/>
        <w:contextualSpacing w:val="0"/>
        <w:jc w:val="both"/>
        <w:rPr>
          <w:rFonts w:eastAsiaTheme="minorEastAsia"/>
          <w:lang w:val="en-US"/>
        </w:rPr>
      </w:pPr>
      <w:r w:rsidRPr="00F27829">
        <w:rPr>
          <w:lang w:val="en-US"/>
        </w:rPr>
        <w:t xml:space="preserve">where </w:t>
      </w:r>
      <m:oMath>
        <m:r>
          <w:rPr>
            <w:rFonts w:ascii="Cambria Math" w:hAnsi="Cambria Math"/>
            <w:lang w:val="en-US"/>
          </w:rPr>
          <m:t>ε</m:t>
        </m:r>
      </m:oMath>
      <w:r w:rsidRPr="00F27829">
        <w:rPr>
          <w:rFonts w:eastAsiaTheme="minorEastAsia"/>
          <w:lang w:val="en-US"/>
        </w:rPr>
        <w:t xml:space="preserve"> is the radon emanation rate, </w:t>
      </w:r>
      <m:oMath>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Rn</m:t>
            </m:r>
          </m:sub>
        </m:sSub>
      </m:oMath>
      <w:r w:rsidRPr="00F27829">
        <w:rPr>
          <w:rFonts w:eastAsiaTheme="minorEastAsia"/>
          <w:lang w:val="en-US"/>
        </w:rPr>
        <w:t xml:space="preserve"> is the decay constant of radon given by </w:t>
      </w:r>
      <m:oMath>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Rn</m:t>
            </m:r>
          </m:sub>
        </m:sSub>
        <m:r>
          <w:rPr>
            <w:rFonts w:ascii="Cambria Math" w:eastAsiaTheme="minorEastAsia" w:hAnsi="Cambria Math"/>
            <w:lang w:val="en-US"/>
          </w:rPr>
          <m:t>=ln</m:t>
        </m:r>
        <m:d>
          <m:dPr>
            <m:ctrlPr>
              <w:rPr>
                <w:rFonts w:ascii="Cambria Math" w:eastAsiaTheme="minorEastAsia" w:hAnsi="Cambria Math"/>
                <w:i/>
                <w:lang w:val="en-US"/>
              </w:rPr>
            </m:ctrlPr>
          </m:dPr>
          <m:e>
            <m:r>
              <w:rPr>
                <w:rFonts w:ascii="Cambria Math" w:eastAsiaTheme="minorEastAsia" w:hAnsi="Cambria Math"/>
                <w:lang w:val="en-US"/>
              </w:rPr>
              <m:t>2</m:t>
            </m:r>
          </m:e>
        </m:d>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1/2</m:t>
            </m:r>
          </m:sub>
        </m:sSub>
      </m:oMath>
      <w:r w:rsidRPr="00F27829">
        <w:rPr>
          <w:rFonts w:eastAsiaTheme="minorEastAsia"/>
          <w:lang w:val="en-US"/>
        </w:rPr>
        <w:t xml:space="preserve">, </w:t>
      </w:r>
      <m:oMath>
        <m:r>
          <w:rPr>
            <w:rFonts w:ascii="Cambria Math" w:eastAsiaTheme="minorEastAsia" w:hAnsi="Cambria Math"/>
            <w:lang w:val="en-US"/>
          </w:rPr>
          <m:t>V</m:t>
        </m:r>
      </m:oMath>
      <w:r w:rsidRPr="00F27829">
        <w:rPr>
          <w:rFonts w:eastAsiaTheme="minorEastAsia"/>
          <w:lang w:val="en-US"/>
        </w:rPr>
        <w:t xml:space="preserve"> is the effective air volume of the radon chamber, </w:t>
      </w:r>
      <m:oMath>
        <m:r>
          <w:rPr>
            <w:rFonts w:ascii="Cambria Math" w:eastAsiaTheme="minorEastAsia" w:hAnsi="Cambria Math"/>
            <w:lang w:val="en-US"/>
          </w:rPr>
          <m:t>t</m:t>
        </m:r>
      </m:oMath>
      <w:r w:rsidRPr="00F27829">
        <w:rPr>
          <w:rFonts w:eastAsiaTheme="minorEastAsia"/>
          <w:lang w:val="en-US"/>
        </w:rPr>
        <w:t xml:space="preserve"> represents the time that has elapsed since the beginning of the radon supply.</w:t>
      </w:r>
    </w:p>
    <w:p w14:paraId="1FC311CE" w14:textId="77777777" w:rsidR="008B705D" w:rsidRPr="00F27829" w:rsidRDefault="008B705D" w:rsidP="00F27829">
      <w:pPr>
        <w:pStyle w:val="ListParagraph"/>
        <w:numPr>
          <w:ilvl w:val="0"/>
          <w:numId w:val="37"/>
        </w:numPr>
        <w:spacing w:before="120" w:after="120"/>
        <w:ind w:left="714" w:hanging="357"/>
        <w:contextualSpacing w:val="0"/>
        <w:jc w:val="both"/>
        <w:rPr>
          <w:rFonts w:eastAsiaTheme="minorEastAsia"/>
          <w:lang w:val="en-US"/>
        </w:rPr>
      </w:pPr>
      <w:r w:rsidRPr="00F27829">
        <w:rPr>
          <w:rFonts w:eastAsiaTheme="minorEastAsia"/>
          <w:lang w:val="en-US"/>
        </w:rPr>
        <w:t>If the emanation source is operated in an open circuit in which air flows through the source and the exhaust air is discarded without being returned to the source, aged air is used to purge the source and transfer the emanated radon to the chamber. This minimizes background.</w:t>
      </w:r>
    </w:p>
    <w:p w14:paraId="18BABEC8" w14:textId="77777777" w:rsidR="008B705D" w:rsidRPr="00F27829" w:rsidRDefault="008B705D" w:rsidP="00F27829">
      <w:pPr>
        <w:pStyle w:val="ListParagraph"/>
        <w:numPr>
          <w:ilvl w:val="0"/>
          <w:numId w:val="37"/>
        </w:numPr>
        <w:spacing w:before="120" w:after="120"/>
        <w:ind w:left="714" w:hanging="357"/>
        <w:contextualSpacing w:val="0"/>
        <w:jc w:val="both"/>
        <w:rPr>
          <w:rFonts w:eastAsiaTheme="minorEastAsia"/>
          <w:lang w:val="en-US"/>
        </w:rPr>
      </w:pPr>
      <w:r w:rsidRPr="00F27829">
        <w:rPr>
          <w:rFonts w:eastAsiaTheme="minorEastAsia"/>
          <w:lang w:val="en-US"/>
        </w:rPr>
        <w:t>If the emanation source is operated in an open circuit, the build-up and final value of the radon activity concentration</w:t>
      </w:r>
      <w:r w:rsidRPr="00F27829">
        <w:rPr>
          <w:lang w:val="en-US"/>
        </w:rPr>
        <w:t xml:space="preserve">, </w:t>
      </w: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Rn</m:t>
            </m:r>
          </m:sub>
        </m:sSub>
      </m:oMath>
      <w:r w:rsidRPr="00F27829">
        <w:rPr>
          <w:rFonts w:eastAsiaTheme="minorEastAsia"/>
          <w:lang w:val="en-US"/>
        </w:rPr>
        <w:t>, is calculated by</w:t>
      </w:r>
    </w:p>
    <w:p w14:paraId="4F35CB9B" w14:textId="77777777" w:rsidR="008B705D" w:rsidRPr="00F27829" w:rsidRDefault="00DE6656" w:rsidP="00F27829">
      <w:pPr>
        <w:pStyle w:val="ListParagraph"/>
        <w:spacing w:before="120" w:after="120"/>
        <w:ind w:left="714"/>
        <w:contextualSpacing w:val="0"/>
        <w:jc w:val="both"/>
        <w:rPr>
          <w:rFonts w:eastAsiaTheme="minorEastAsia"/>
          <w:lang w:val="en-US"/>
        </w:rPr>
      </w:pPr>
      <m:oMathPara>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Rn</m:t>
              </m:r>
            </m:sub>
          </m:sSub>
          <m:d>
            <m:dPr>
              <m:ctrlPr>
                <w:rPr>
                  <w:rFonts w:ascii="Cambria Math" w:hAnsi="Cambria Math"/>
                  <w:i/>
                  <w:lang w:val="en-US"/>
                </w:rPr>
              </m:ctrlPr>
            </m:dPr>
            <m:e>
              <m:r>
                <w:rPr>
                  <w:rFonts w:ascii="Cambria Math" w:hAnsi="Cambria Math"/>
                  <w:lang w:val="en-US"/>
                </w:rPr>
                <m:t>t</m:t>
              </m:r>
            </m:e>
          </m:d>
          <m:r>
            <w:rPr>
              <w:rFonts w:ascii="Cambria Math" w:hAnsi="Cambria Math"/>
              <w:lang w:val="en-US"/>
            </w:rPr>
            <m:t>=</m:t>
          </m:r>
          <m:f>
            <m:fPr>
              <m:ctrlPr>
                <w:rPr>
                  <w:rFonts w:ascii="Cambria Math" w:hAnsi="Cambria Math"/>
                  <w:i/>
                  <w:lang w:val="en-US"/>
                </w:rPr>
              </m:ctrlPr>
            </m:fPr>
            <m:num>
              <m:r>
                <w:rPr>
                  <w:rFonts w:ascii="Cambria Math" w:hAnsi="Cambria Math"/>
                  <w:lang w:val="en-US"/>
                </w:rPr>
                <m:t>ε</m:t>
              </m:r>
            </m:num>
            <m:den>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Rn</m:t>
                  </m:r>
                </m:sub>
              </m:sSub>
              <m:r>
                <w:rPr>
                  <w:rFonts w:ascii="Cambria Math" w:hAnsi="Cambria Math"/>
                  <w:lang w:val="en-US"/>
                </w:rPr>
                <m:t>V+ϕ</m:t>
              </m:r>
            </m:den>
          </m:f>
          <m:d>
            <m:dPr>
              <m:ctrlPr>
                <w:rPr>
                  <w:rFonts w:ascii="Cambria Math" w:hAnsi="Cambria Math"/>
                  <w:i/>
                  <w:lang w:val="en-US"/>
                </w:rPr>
              </m:ctrlPr>
            </m:dPr>
            <m:e>
              <m:r>
                <w:rPr>
                  <w:rFonts w:ascii="Cambria Math" w:hAnsi="Cambria Math"/>
                  <w:lang w:val="en-US"/>
                </w:rPr>
                <m:t>1-</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Rn</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ϕ</m:t>
                          </m:r>
                        </m:num>
                        <m:den>
                          <m:r>
                            <w:rPr>
                              <w:rFonts w:ascii="Cambria Math" w:hAnsi="Cambria Math"/>
                              <w:lang w:val="en-US"/>
                            </w:rPr>
                            <m:t>V</m:t>
                          </m:r>
                        </m:den>
                      </m:f>
                    </m:e>
                  </m:d>
                  <m:r>
                    <w:rPr>
                      <w:rFonts w:ascii="Cambria Math" w:hAnsi="Cambria Math"/>
                      <w:lang w:val="en-US"/>
                    </w:rPr>
                    <m:t>t</m:t>
                  </m:r>
                </m:sup>
              </m:sSup>
            </m:e>
          </m:d>
          <m:r>
            <w:rPr>
              <w:rFonts w:ascii="Cambria Math" w:hAnsi="Cambria Math"/>
              <w:lang w:val="en-US"/>
            </w:rPr>
            <m:t>.</m:t>
          </m:r>
        </m:oMath>
      </m:oMathPara>
    </w:p>
    <w:p w14:paraId="5DD0E80D" w14:textId="77777777" w:rsidR="008B705D" w:rsidRPr="00F27829" w:rsidRDefault="008B705D" w:rsidP="00F27829">
      <w:pPr>
        <w:pStyle w:val="ListParagraph"/>
        <w:spacing w:before="120" w:after="120"/>
        <w:ind w:left="714"/>
        <w:contextualSpacing w:val="0"/>
        <w:jc w:val="both"/>
        <w:rPr>
          <w:rFonts w:eastAsiaTheme="minorEastAsia"/>
          <w:lang w:val="en-US"/>
        </w:rPr>
      </w:pPr>
      <w:r w:rsidRPr="00F27829">
        <w:rPr>
          <w:rFonts w:eastAsiaTheme="minorEastAsia"/>
          <w:lang w:val="en-US"/>
        </w:rPr>
        <w:t xml:space="preserve">In addition to the previously used parameters, the volume flow rate, </w:t>
      </w:r>
      <m:oMath>
        <m:r>
          <w:rPr>
            <w:rFonts w:ascii="Cambria Math" w:eastAsiaTheme="minorEastAsia" w:hAnsi="Cambria Math"/>
            <w:lang w:val="en-US"/>
          </w:rPr>
          <m:t>ϕ</m:t>
        </m:r>
      </m:oMath>
      <w:r w:rsidRPr="00F27829">
        <w:rPr>
          <w:rFonts w:eastAsiaTheme="minorEastAsia"/>
          <w:lang w:val="en-US"/>
        </w:rPr>
        <w:t>, has to be taken into account.</w:t>
      </w:r>
    </w:p>
    <w:p w14:paraId="20C4CB35" w14:textId="77777777" w:rsidR="008B705D" w:rsidRPr="00F27829" w:rsidRDefault="008B705D" w:rsidP="00F27829">
      <w:pPr>
        <w:pStyle w:val="ListParagraph"/>
        <w:numPr>
          <w:ilvl w:val="0"/>
          <w:numId w:val="37"/>
        </w:numPr>
        <w:spacing w:before="120" w:after="120"/>
        <w:ind w:left="714" w:hanging="357"/>
        <w:contextualSpacing w:val="0"/>
        <w:jc w:val="both"/>
        <w:rPr>
          <w:lang w:val="en-US"/>
        </w:rPr>
      </w:pPr>
      <w:r w:rsidRPr="00F27829">
        <w:rPr>
          <w:rFonts w:eastAsiaTheme="minorEastAsia"/>
          <w:lang w:val="en-US"/>
        </w:rPr>
        <w:t>If the emanation source is operated in an open circuit</w:t>
      </w:r>
      <w:r w:rsidRPr="00F27829">
        <w:rPr>
          <w:lang w:val="en-US"/>
        </w:rPr>
        <w:t>, a flow controller shall be used to control the air flow rate. The flow controller shall be calibrated at an approved calibration body to prove the traceability of the flow rate. A certificate issued by the calibration body shall document the calibration. The flow rate controller shall be calibrated for the flow of air or nitrogen. Calibration shall be performed for flow rates corresponding to the operating ranges of the flow controller for the production of the respective radon atmospheres. The calibration certificate of the air flow controller shall specify the temperature, air pressure and other relevant information (gas components, humidity) to enable the correction of the indicated gas flow to the actual gas flow for the conditions prevailing during operation.</w:t>
      </w:r>
    </w:p>
    <w:p w14:paraId="38B473EA" w14:textId="3360E3EC" w:rsidR="008B705D" w:rsidRPr="008B705D" w:rsidRDefault="006D6619" w:rsidP="00EA647D">
      <w:pPr>
        <w:keepNext/>
        <w:keepLines/>
        <w:spacing w:before="200" w:after="100"/>
        <w:jc w:val="both"/>
        <w:outlineLvl w:val="1"/>
        <w:rPr>
          <w:rFonts w:eastAsiaTheme="majorEastAsia" w:cstheme="majorBidi"/>
          <w:b/>
          <w:bCs/>
          <w:szCs w:val="26"/>
          <w:lang w:val="en-US"/>
        </w:rPr>
      </w:pPr>
      <w:bookmarkStart w:id="96" w:name="_Toc58936335"/>
      <w:r>
        <w:rPr>
          <w:rFonts w:eastAsiaTheme="majorEastAsia" w:cstheme="majorBidi"/>
          <w:b/>
          <w:bCs/>
          <w:szCs w:val="26"/>
          <w:lang w:val="en-US"/>
        </w:rPr>
        <w:lastRenderedPageBreak/>
        <w:t>3.</w:t>
      </w:r>
      <w:r w:rsidR="00C64960">
        <w:rPr>
          <w:rFonts w:eastAsiaTheme="majorEastAsia" w:cstheme="majorBidi"/>
          <w:b/>
          <w:bCs/>
          <w:szCs w:val="26"/>
          <w:lang w:val="en-US"/>
        </w:rPr>
        <w:t xml:space="preserve">3 </w:t>
      </w:r>
      <w:r w:rsidR="008B705D" w:rsidRPr="008B705D">
        <w:rPr>
          <w:rFonts w:eastAsiaTheme="majorEastAsia" w:cstheme="majorBidi"/>
          <w:b/>
          <w:bCs/>
          <w:szCs w:val="26"/>
          <w:lang w:val="en-US"/>
        </w:rPr>
        <w:t>Calibration object</w:t>
      </w:r>
      <w:bookmarkEnd w:id="96"/>
    </w:p>
    <w:p w14:paraId="24064215" w14:textId="77777777" w:rsidR="008B705D" w:rsidRPr="00F27829" w:rsidRDefault="008B705D" w:rsidP="00F27829">
      <w:pPr>
        <w:pStyle w:val="ListParagraph"/>
        <w:numPr>
          <w:ilvl w:val="0"/>
          <w:numId w:val="38"/>
        </w:numPr>
        <w:spacing w:before="120" w:after="120"/>
        <w:ind w:left="714" w:hanging="357"/>
        <w:contextualSpacing w:val="0"/>
        <w:jc w:val="both"/>
        <w:rPr>
          <w:lang w:val="en-US"/>
        </w:rPr>
      </w:pPr>
      <w:r w:rsidRPr="00F27829">
        <w:rPr>
          <w:lang w:val="en-US"/>
        </w:rPr>
        <w:t xml:space="preserve">Each calibration object shall have a free space to the walls of the volume, equipment or other calibration objects of at least 10 cm. Suitable stands, holders and other equipment should be used to place the calibration objects. </w:t>
      </w:r>
    </w:p>
    <w:p w14:paraId="74528EF0" w14:textId="77777777" w:rsidR="008B705D" w:rsidRPr="00F27829" w:rsidRDefault="008B705D" w:rsidP="00F27829">
      <w:pPr>
        <w:pStyle w:val="ListParagraph"/>
        <w:numPr>
          <w:ilvl w:val="0"/>
          <w:numId w:val="38"/>
        </w:numPr>
        <w:spacing w:before="120" w:after="120"/>
        <w:ind w:left="714" w:hanging="357"/>
        <w:contextualSpacing w:val="0"/>
        <w:jc w:val="both"/>
        <w:rPr>
          <w:lang w:val="en-US"/>
        </w:rPr>
      </w:pPr>
      <w:r w:rsidRPr="00F27829">
        <w:rPr>
          <w:lang w:val="en-US"/>
        </w:rPr>
        <w:t>Care must be taken to ensure that the sensitive measuring unit of the calibration object is not placed in the vicinity of gas ducts, fans or other devices that could impair the measurements. Ideally, the sensitive measuring unit should be placed free in the volume, away from other installations or walls.</w:t>
      </w:r>
    </w:p>
    <w:p w14:paraId="776E2725" w14:textId="57D178CC" w:rsidR="008B705D" w:rsidRPr="00F27829" w:rsidRDefault="008B705D" w:rsidP="00F27829">
      <w:pPr>
        <w:pStyle w:val="ListParagraph"/>
        <w:numPr>
          <w:ilvl w:val="0"/>
          <w:numId w:val="38"/>
        </w:numPr>
        <w:spacing w:before="120" w:after="120"/>
        <w:ind w:left="714" w:hanging="357"/>
        <w:contextualSpacing w:val="0"/>
        <w:jc w:val="both"/>
        <w:rPr>
          <w:lang w:val="en-US"/>
        </w:rPr>
      </w:pPr>
      <w:r w:rsidRPr="00F27829">
        <w:rPr>
          <w:lang w:val="en-US"/>
        </w:rPr>
        <w:t>By introducing a calibration object into the radon chamber, a corresponding part of the air volume is replaced. Especially in radon chambers with small volumes, this could influence the calibration result. It may therefore be necessary to re</w:t>
      </w:r>
      <w:r w:rsidR="0095065A" w:rsidRPr="00F27829">
        <w:rPr>
          <w:lang w:val="en-US"/>
        </w:rPr>
        <w:t>-</w:t>
      </w:r>
      <w:r w:rsidRPr="00F27829">
        <w:rPr>
          <w:lang w:val="en-US"/>
        </w:rPr>
        <w:t>determine the effective air volume taking into account the calibration object.</w:t>
      </w:r>
    </w:p>
    <w:p w14:paraId="61B4D64E" w14:textId="77777777" w:rsidR="008B705D" w:rsidRPr="00F27829" w:rsidRDefault="008B705D" w:rsidP="00F27829">
      <w:pPr>
        <w:pStyle w:val="ListParagraph"/>
        <w:numPr>
          <w:ilvl w:val="0"/>
          <w:numId w:val="38"/>
        </w:numPr>
        <w:spacing w:before="120" w:after="120"/>
        <w:ind w:left="714" w:hanging="357"/>
        <w:contextualSpacing w:val="0"/>
        <w:jc w:val="both"/>
        <w:rPr>
          <w:lang w:val="en-US"/>
        </w:rPr>
      </w:pPr>
      <w:r w:rsidRPr="00F27829">
        <w:rPr>
          <w:lang w:val="en-US"/>
        </w:rPr>
        <w:t>Calibration objects with electronic components could be heat sources, which can influence the calibration atmosphere especially in small radon chambers. Measures must be taken to minimize or correct the effects.</w:t>
      </w:r>
    </w:p>
    <w:p w14:paraId="718E65C5" w14:textId="5CCDEDDA" w:rsidR="008B705D" w:rsidRPr="008B705D" w:rsidRDefault="006D6619" w:rsidP="00EA647D">
      <w:pPr>
        <w:keepNext/>
        <w:keepLines/>
        <w:spacing w:before="200" w:after="100"/>
        <w:jc w:val="both"/>
        <w:outlineLvl w:val="1"/>
        <w:rPr>
          <w:rFonts w:eastAsiaTheme="majorEastAsia" w:cstheme="majorBidi"/>
          <w:b/>
          <w:bCs/>
          <w:szCs w:val="26"/>
          <w:lang w:val="en-US"/>
        </w:rPr>
      </w:pPr>
      <w:bookmarkStart w:id="97" w:name="_Toc58936336"/>
      <w:r>
        <w:rPr>
          <w:rFonts w:eastAsiaTheme="majorEastAsia" w:cstheme="majorBidi"/>
          <w:b/>
          <w:bCs/>
          <w:szCs w:val="26"/>
          <w:lang w:val="en-US"/>
        </w:rPr>
        <w:t>3.</w:t>
      </w:r>
      <w:r w:rsidR="00C64960">
        <w:rPr>
          <w:rFonts w:eastAsiaTheme="majorEastAsia" w:cstheme="majorBidi"/>
          <w:b/>
          <w:bCs/>
          <w:szCs w:val="26"/>
          <w:lang w:val="en-US"/>
        </w:rPr>
        <w:t>4</w:t>
      </w:r>
      <w:r w:rsidR="008B705D" w:rsidRPr="008B705D">
        <w:rPr>
          <w:rFonts w:eastAsiaTheme="majorEastAsia" w:cstheme="majorBidi"/>
          <w:b/>
          <w:bCs/>
          <w:szCs w:val="26"/>
          <w:lang w:val="en-US"/>
        </w:rPr>
        <w:t xml:space="preserve"> Calibration methods and traceability</w:t>
      </w:r>
      <w:bookmarkEnd w:id="97"/>
    </w:p>
    <w:p w14:paraId="6B0CD417" w14:textId="77777777" w:rsidR="008B705D" w:rsidRPr="00F27829" w:rsidRDefault="008B705D" w:rsidP="00F27829">
      <w:pPr>
        <w:pStyle w:val="ListParagraph"/>
        <w:numPr>
          <w:ilvl w:val="0"/>
          <w:numId w:val="39"/>
        </w:numPr>
        <w:spacing w:before="120" w:after="120"/>
        <w:ind w:left="714" w:hanging="357"/>
        <w:contextualSpacing w:val="0"/>
        <w:jc w:val="both"/>
        <w:rPr>
          <w:lang w:val="en-US"/>
        </w:rPr>
      </w:pPr>
      <w:r w:rsidRPr="00F27829">
        <w:rPr>
          <w:lang w:val="en-US"/>
        </w:rPr>
        <w:t>The measurand radon activity concentration is a combined quantity consisting of the primary quantities activity and volume. The quantities must be traced back to approved primary standards through an unbroken chain of calibrations.</w:t>
      </w:r>
    </w:p>
    <w:p w14:paraId="111CEF07" w14:textId="35BD1890" w:rsidR="008B705D" w:rsidRPr="00F27829" w:rsidRDefault="008B705D" w:rsidP="00F27829">
      <w:pPr>
        <w:pStyle w:val="ListParagraph"/>
        <w:numPr>
          <w:ilvl w:val="0"/>
          <w:numId w:val="39"/>
        </w:numPr>
        <w:spacing w:before="120" w:after="120"/>
        <w:ind w:left="714" w:hanging="357"/>
        <w:contextualSpacing w:val="0"/>
        <w:jc w:val="both"/>
        <w:rPr>
          <w:lang w:val="en-US"/>
        </w:rPr>
      </w:pPr>
      <w:r w:rsidRPr="00F27829">
        <w:rPr>
          <w:lang w:val="en-US"/>
        </w:rPr>
        <w:t>The measurand radon activity concentration can be realized by a radon chamber of known volume into which a certain amount of radon activity is fed. Both the chamber volume and the radon activity must be separately traced back to primary standards. This method is used by secondary reference laboratories. It places high demands on the stability and precision of established radon atmospheres. The determination of the effective air volume in the radon chamber, which includes all installations and the calibration objects, should be considered. The uncertainty of the calibration result is composed of the uncertainties of the free air volume in the radon chamber and the radon activity, and additionally the uncertainty caused by the calibration object.</w:t>
      </w:r>
    </w:p>
    <w:p w14:paraId="19F5B31E" w14:textId="77777777" w:rsidR="008B705D" w:rsidRPr="00F27829" w:rsidRDefault="008B705D" w:rsidP="00F27829">
      <w:pPr>
        <w:pStyle w:val="ListParagraph"/>
        <w:numPr>
          <w:ilvl w:val="0"/>
          <w:numId w:val="39"/>
        </w:numPr>
        <w:spacing w:before="120" w:after="120"/>
        <w:ind w:left="714" w:hanging="357"/>
        <w:contextualSpacing w:val="0"/>
        <w:jc w:val="both"/>
        <w:rPr>
          <w:b/>
          <w:bCs/>
          <w:lang w:val="en-US"/>
        </w:rPr>
      </w:pPr>
      <w:r w:rsidRPr="00F27829">
        <w:rPr>
          <w:lang w:val="en-US"/>
        </w:rPr>
        <w:t>The measurand radon activity concentration can also be determined with a reference instrument, which directly measures the measurand in the atmosphere of the radon chamber. The reference instrument is traced back to a secondary reference laboratory. The uncertainty of the calibration result is composed of the uncertainties of the calibration factor of the reference instrument and the fluctuation of its indication, and additionally the uncertainty caused by the calibration object.</w:t>
      </w:r>
    </w:p>
    <w:p w14:paraId="01E53735" w14:textId="782DEC36" w:rsidR="008B705D" w:rsidRPr="008B705D" w:rsidRDefault="006D6619" w:rsidP="00EA647D">
      <w:pPr>
        <w:keepNext/>
        <w:keepLines/>
        <w:spacing w:before="200" w:after="100"/>
        <w:jc w:val="both"/>
        <w:outlineLvl w:val="1"/>
        <w:rPr>
          <w:rFonts w:eastAsiaTheme="majorEastAsia" w:cstheme="majorBidi"/>
          <w:b/>
          <w:bCs/>
          <w:szCs w:val="26"/>
          <w:lang w:val="en-US"/>
        </w:rPr>
      </w:pPr>
      <w:bookmarkStart w:id="98" w:name="_Toc58936337"/>
      <w:r>
        <w:rPr>
          <w:rFonts w:eastAsiaTheme="majorEastAsia" w:cstheme="majorBidi"/>
          <w:b/>
          <w:bCs/>
          <w:szCs w:val="26"/>
          <w:lang w:val="en-US"/>
        </w:rPr>
        <w:t>3.</w:t>
      </w:r>
      <w:r w:rsidR="00C64960">
        <w:rPr>
          <w:rFonts w:eastAsiaTheme="majorEastAsia" w:cstheme="majorBidi"/>
          <w:b/>
          <w:bCs/>
          <w:szCs w:val="26"/>
          <w:lang w:val="en-US"/>
        </w:rPr>
        <w:t>5</w:t>
      </w:r>
      <w:r w:rsidR="008B705D" w:rsidRPr="008B705D">
        <w:rPr>
          <w:rFonts w:eastAsiaTheme="majorEastAsia" w:cstheme="majorBidi"/>
          <w:b/>
          <w:bCs/>
          <w:szCs w:val="26"/>
          <w:lang w:val="en-US"/>
        </w:rPr>
        <w:t xml:space="preserve"> Specific requirements on the calibration procedure</w:t>
      </w:r>
      <w:bookmarkEnd w:id="98"/>
    </w:p>
    <w:p w14:paraId="3ED07A6C" w14:textId="77777777" w:rsidR="008B705D" w:rsidRPr="00F27829" w:rsidRDefault="008B705D" w:rsidP="00F27829">
      <w:pPr>
        <w:pStyle w:val="ListParagraph"/>
        <w:numPr>
          <w:ilvl w:val="0"/>
          <w:numId w:val="40"/>
        </w:numPr>
        <w:spacing w:before="120" w:after="120"/>
        <w:ind w:left="714" w:hanging="357"/>
        <w:contextualSpacing w:val="0"/>
        <w:jc w:val="both"/>
        <w:rPr>
          <w:lang w:val="en-US"/>
        </w:rPr>
      </w:pPr>
      <w:r w:rsidRPr="00F27829">
        <w:rPr>
          <w:lang w:val="en-US"/>
        </w:rPr>
        <w:t>The calibration shall include the determination of the measurement background of the calibration object. It is determined after replacing the chamber air with aged air. The time period for background measurements must be sufficiently long to minimize the background uncertainty. It is not uncommon for the duration of background measurements to be much longer than that of calibration exposures.</w:t>
      </w:r>
    </w:p>
    <w:p w14:paraId="05C7D8AC" w14:textId="77777777" w:rsidR="008B705D" w:rsidRPr="00F27829" w:rsidRDefault="008B705D" w:rsidP="00F27829">
      <w:pPr>
        <w:pStyle w:val="ListParagraph"/>
        <w:numPr>
          <w:ilvl w:val="0"/>
          <w:numId w:val="40"/>
        </w:numPr>
        <w:spacing w:before="120" w:after="120"/>
        <w:ind w:left="714" w:hanging="357"/>
        <w:contextualSpacing w:val="0"/>
        <w:jc w:val="both"/>
        <w:rPr>
          <w:lang w:val="en-US"/>
        </w:rPr>
      </w:pPr>
      <w:r w:rsidRPr="00F27829">
        <w:rPr>
          <w:lang w:val="en-US"/>
        </w:rPr>
        <w:t>The calibration determines the relationship between the instrument display and a reference activity concentration of radon under specified conditions. This relationship can be expressed as a factor or function and is the calibration result.</w:t>
      </w:r>
    </w:p>
    <w:p w14:paraId="6BDE0C63" w14:textId="77777777" w:rsidR="008B705D" w:rsidRPr="00F27829" w:rsidRDefault="008B705D" w:rsidP="00F27829">
      <w:pPr>
        <w:pStyle w:val="ListParagraph"/>
        <w:numPr>
          <w:ilvl w:val="0"/>
          <w:numId w:val="40"/>
        </w:numPr>
        <w:spacing w:before="120" w:after="120"/>
        <w:ind w:left="714" w:hanging="357"/>
        <w:contextualSpacing w:val="0"/>
        <w:jc w:val="both"/>
        <w:rPr>
          <w:lang w:val="en-US"/>
        </w:rPr>
      </w:pPr>
      <w:bookmarkStart w:id="99" w:name="_Toc341451447"/>
      <w:bookmarkStart w:id="100" w:name="_Toc383773944"/>
      <w:r w:rsidRPr="00F27829">
        <w:rPr>
          <w:lang w:val="en-US"/>
        </w:rPr>
        <w:lastRenderedPageBreak/>
        <w:t>The calibration service must ensure that calibrations are performed within the limits of the standard test conditions given in Table 1. The conditions for the calibrations may differ from the ranges given in Table 1 by agreement between the calibration service and the customer.</w:t>
      </w:r>
    </w:p>
    <w:p w14:paraId="408E31CB" w14:textId="77777777" w:rsidR="008B705D" w:rsidRPr="008B705D" w:rsidRDefault="008B705D" w:rsidP="00EA647D">
      <w:pPr>
        <w:keepNext/>
        <w:snapToGrid w:val="0"/>
        <w:spacing w:before="240" w:after="60" w:line="240" w:lineRule="auto"/>
        <w:jc w:val="both"/>
        <w:rPr>
          <w:rFonts w:ascii="Arial" w:eastAsia="Times New Roman" w:hAnsi="Arial"/>
          <w:b/>
          <w:bCs/>
          <w:spacing w:val="8"/>
          <w:sz w:val="16"/>
          <w:szCs w:val="16"/>
          <w:lang w:val="en-GB" w:eastAsia="zh-CN"/>
        </w:rPr>
      </w:pPr>
      <w:r w:rsidRPr="008B705D">
        <w:rPr>
          <w:rFonts w:ascii="Arial" w:eastAsia="Times New Roman" w:hAnsi="Arial"/>
          <w:b/>
          <w:bCs/>
          <w:spacing w:val="8"/>
          <w:sz w:val="16"/>
          <w:szCs w:val="16"/>
          <w:lang w:val="en-GB" w:eastAsia="zh-CN"/>
        </w:rPr>
        <w:t xml:space="preserve">Table </w:t>
      </w:r>
      <w:r w:rsidRPr="008B705D">
        <w:rPr>
          <w:rFonts w:ascii="Arial" w:eastAsia="Times New Roman" w:hAnsi="Arial"/>
          <w:b/>
          <w:bCs/>
          <w:spacing w:val="8"/>
          <w:sz w:val="16"/>
          <w:szCs w:val="16"/>
          <w:lang w:val="en-GB" w:eastAsia="zh-CN"/>
        </w:rPr>
        <w:fldChar w:fldCharType="begin"/>
      </w:r>
      <w:r w:rsidRPr="008B705D">
        <w:rPr>
          <w:rFonts w:ascii="Arial" w:eastAsia="Times New Roman" w:hAnsi="Arial"/>
          <w:b/>
          <w:bCs/>
          <w:spacing w:val="8"/>
          <w:sz w:val="16"/>
          <w:szCs w:val="16"/>
          <w:lang w:val="en-GB" w:eastAsia="zh-CN"/>
        </w:rPr>
        <w:instrText xml:space="preserve"> SEQ Table \* ARABIC </w:instrText>
      </w:r>
      <w:r w:rsidRPr="008B705D">
        <w:rPr>
          <w:rFonts w:ascii="Arial" w:eastAsia="Times New Roman" w:hAnsi="Arial"/>
          <w:b/>
          <w:bCs/>
          <w:spacing w:val="8"/>
          <w:sz w:val="16"/>
          <w:szCs w:val="16"/>
          <w:lang w:val="en-GB" w:eastAsia="zh-CN"/>
        </w:rPr>
        <w:fldChar w:fldCharType="separate"/>
      </w:r>
      <w:r w:rsidRPr="008B705D">
        <w:rPr>
          <w:rFonts w:ascii="Arial" w:eastAsia="Times New Roman" w:hAnsi="Arial"/>
          <w:b/>
          <w:bCs/>
          <w:spacing w:val="8"/>
          <w:sz w:val="16"/>
          <w:szCs w:val="16"/>
          <w:lang w:val="en-GB" w:eastAsia="zh-CN"/>
        </w:rPr>
        <w:t>1</w:t>
      </w:r>
      <w:r w:rsidRPr="008B705D">
        <w:rPr>
          <w:rFonts w:ascii="Arial" w:eastAsia="Times New Roman" w:hAnsi="Arial"/>
          <w:b/>
          <w:bCs/>
          <w:spacing w:val="8"/>
          <w:sz w:val="16"/>
          <w:szCs w:val="16"/>
          <w:lang w:val="en-GB" w:eastAsia="zh-CN"/>
        </w:rPr>
        <w:fldChar w:fldCharType="end"/>
      </w:r>
      <w:r w:rsidRPr="008B705D">
        <w:rPr>
          <w:rFonts w:ascii="Arial" w:eastAsia="Times New Roman" w:hAnsi="Arial"/>
          <w:b/>
          <w:bCs/>
          <w:spacing w:val="8"/>
          <w:sz w:val="16"/>
          <w:szCs w:val="16"/>
          <w:lang w:val="en-GB" w:eastAsia="zh-CN"/>
        </w:rPr>
        <w:t xml:space="preserve"> – Reference conditions and standard test conditions</w:t>
      </w:r>
      <w:bookmarkEnd w:id="99"/>
      <w:bookmarkEnd w:id="100"/>
    </w:p>
    <w:tbl>
      <w:tblPr>
        <w:tblW w:w="907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23"/>
        <w:gridCol w:w="3023"/>
        <w:gridCol w:w="3024"/>
      </w:tblGrid>
      <w:tr w:rsidR="008B705D" w:rsidRPr="008B705D" w14:paraId="52EEFC5D" w14:textId="77777777" w:rsidTr="00DF4D93">
        <w:trPr>
          <w:cantSplit/>
          <w:tblHeader/>
          <w:jc w:val="center"/>
        </w:trPr>
        <w:tc>
          <w:tcPr>
            <w:tcW w:w="3023" w:type="dxa"/>
            <w:vAlign w:val="center"/>
          </w:tcPr>
          <w:p w14:paraId="2A190E17" w14:textId="77777777" w:rsidR="008B705D" w:rsidRPr="008B705D" w:rsidRDefault="008B705D" w:rsidP="00EA647D">
            <w:pPr>
              <w:keepNext/>
              <w:snapToGrid w:val="0"/>
              <w:spacing w:before="60" w:after="60" w:line="240" w:lineRule="auto"/>
              <w:jc w:val="both"/>
              <w:rPr>
                <w:rFonts w:ascii="Arial" w:eastAsia="Times New Roman" w:hAnsi="Arial"/>
                <w:b/>
                <w:bCs/>
                <w:spacing w:val="8"/>
                <w:sz w:val="16"/>
                <w:szCs w:val="16"/>
                <w:lang w:val="en-GB" w:eastAsia="zh-CN"/>
              </w:rPr>
            </w:pPr>
            <w:r w:rsidRPr="008B705D">
              <w:rPr>
                <w:rFonts w:ascii="Arial" w:eastAsia="Times New Roman" w:hAnsi="Arial"/>
                <w:b/>
                <w:bCs/>
                <w:spacing w:val="8"/>
                <w:sz w:val="16"/>
                <w:szCs w:val="16"/>
                <w:lang w:val="en-GB" w:eastAsia="zh-CN"/>
              </w:rPr>
              <w:t>Quantity</w:t>
            </w:r>
          </w:p>
        </w:tc>
        <w:tc>
          <w:tcPr>
            <w:tcW w:w="3023" w:type="dxa"/>
            <w:vAlign w:val="center"/>
          </w:tcPr>
          <w:p w14:paraId="1E3E5DED" w14:textId="77777777" w:rsidR="008B705D" w:rsidRPr="008B705D" w:rsidRDefault="008B705D" w:rsidP="00EA647D">
            <w:pPr>
              <w:keepNext/>
              <w:snapToGrid w:val="0"/>
              <w:spacing w:before="60" w:after="60" w:line="240" w:lineRule="auto"/>
              <w:jc w:val="both"/>
              <w:rPr>
                <w:rFonts w:ascii="Arial" w:eastAsia="Times New Roman" w:hAnsi="Arial"/>
                <w:b/>
                <w:bCs/>
                <w:spacing w:val="8"/>
                <w:sz w:val="16"/>
                <w:szCs w:val="16"/>
                <w:lang w:val="en-GB" w:eastAsia="zh-CN"/>
              </w:rPr>
            </w:pPr>
            <w:r w:rsidRPr="008B705D">
              <w:rPr>
                <w:rFonts w:ascii="Arial" w:eastAsia="Times New Roman" w:hAnsi="Arial"/>
                <w:b/>
                <w:bCs/>
                <w:spacing w:val="8"/>
                <w:sz w:val="16"/>
                <w:szCs w:val="16"/>
                <w:lang w:val="en-GB" w:eastAsia="zh-CN"/>
              </w:rPr>
              <w:t>Reference conditions</w:t>
            </w:r>
          </w:p>
        </w:tc>
        <w:tc>
          <w:tcPr>
            <w:tcW w:w="3024" w:type="dxa"/>
            <w:vAlign w:val="center"/>
          </w:tcPr>
          <w:p w14:paraId="59A61135" w14:textId="77777777" w:rsidR="008B705D" w:rsidRPr="008B705D" w:rsidRDefault="008B705D" w:rsidP="00EA647D">
            <w:pPr>
              <w:keepNext/>
              <w:snapToGrid w:val="0"/>
              <w:spacing w:before="60" w:after="60" w:line="240" w:lineRule="auto"/>
              <w:jc w:val="both"/>
              <w:rPr>
                <w:rFonts w:ascii="Arial" w:eastAsia="Times New Roman" w:hAnsi="Arial"/>
                <w:b/>
                <w:bCs/>
                <w:spacing w:val="8"/>
                <w:sz w:val="16"/>
                <w:szCs w:val="16"/>
                <w:lang w:val="en-GB" w:eastAsia="zh-CN"/>
              </w:rPr>
            </w:pPr>
            <w:r w:rsidRPr="008B705D">
              <w:rPr>
                <w:rFonts w:ascii="Arial" w:eastAsia="Times New Roman" w:hAnsi="Arial"/>
                <w:b/>
                <w:bCs/>
                <w:spacing w:val="8"/>
                <w:sz w:val="16"/>
                <w:szCs w:val="16"/>
                <w:lang w:val="en-GB" w:eastAsia="zh-CN"/>
              </w:rPr>
              <w:t>Standard test conditions</w:t>
            </w:r>
          </w:p>
        </w:tc>
      </w:tr>
      <w:tr w:rsidR="008B705D" w:rsidRPr="008B705D" w14:paraId="440E7653" w14:textId="77777777" w:rsidTr="00DF4D93">
        <w:trPr>
          <w:cantSplit/>
          <w:jc w:val="center"/>
        </w:trPr>
        <w:tc>
          <w:tcPr>
            <w:tcW w:w="3023" w:type="dxa"/>
          </w:tcPr>
          <w:p w14:paraId="35545B05" w14:textId="77777777" w:rsidR="008B705D" w:rsidRPr="008B705D" w:rsidRDefault="008B705D" w:rsidP="00EA647D">
            <w:pPr>
              <w:keepNext/>
              <w:snapToGrid w:val="0"/>
              <w:spacing w:before="60" w:after="60" w:line="240" w:lineRule="auto"/>
              <w:jc w:val="both"/>
              <w:rPr>
                <w:rFonts w:ascii="Arial" w:eastAsia="Times New Roman" w:hAnsi="Arial"/>
                <w:bCs/>
                <w:spacing w:val="8"/>
                <w:sz w:val="16"/>
                <w:lang w:val="en-GB" w:eastAsia="zh-CN"/>
              </w:rPr>
            </w:pPr>
            <w:r w:rsidRPr="008B705D">
              <w:rPr>
                <w:rFonts w:ascii="Arial" w:eastAsia="Times New Roman" w:hAnsi="Arial" w:hint="eastAsia"/>
                <w:bCs/>
                <w:spacing w:val="8"/>
                <w:sz w:val="16"/>
                <w:lang w:val="en-GB" w:eastAsia="ja-JP"/>
              </w:rPr>
              <w:t>Activity concentration</w:t>
            </w:r>
            <w:r w:rsidRPr="008B705D">
              <w:rPr>
                <w:rFonts w:ascii="Arial" w:eastAsia="Times New Roman" w:hAnsi="Arial"/>
                <w:bCs/>
                <w:spacing w:val="8"/>
                <w:sz w:val="16"/>
                <w:lang w:val="en-GB" w:eastAsia="zh-CN"/>
              </w:rPr>
              <w:t xml:space="preserve"> of </w:t>
            </w:r>
            <w:r w:rsidRPr="008B705D">
              <w:rPr>
                <w:rFonts w:ascii="Arial" w:eastAsia="Times New Roman" w:hAnsi="Arial"/>
                <w:bCs/>
                <w:spacing w:val="8"/>
                <w:position w:val="6"/>
                <w:sz w:val="12"/>
                <w:szCs w:val="16"/>
                <w:lang w:val="en-GB" w:eastAsia="zh-CN"/>
              </w:rPr>
              <w:t>220</w:t>
            </w:r>
            <w:r w:rsidRPr="008B705D">
              <w:rPr>
                <w:rFonts w:ascii="Arial" w:eastAsia="Times New Roman" w:hAnsi="Arial"/>
                <w:bCs/>
                <w:spacing w:val="8"/>
                <w:sz w:val="16"/>
                <w:lang w:val="en-GB" w:eastAsia="zh-CN"/>
              </w:rPr>
              <w:t>Rn</w:t>
            </w:r>
          </w:p>
        </w:tc>
        <w:tc>
          <w:tcPr>
            <w:tcW w:w="3023" w:type="dxa"/>
          </w:tcPr>
          <w:p w14:paraId="0034A37D" w14:textId="77777777" w:rsidR="008B705D" w:rsidRPr="008B705D" w:rsidRDefault="008B705D" w:rsidP="00EA647D">
            <w:pPr>
              <w:keepNext/>
              <w:snapToGrid w:val="0"/>
              <w:spacing w:before="60" w:after="60" w:line="240" w:lineRule="auto"/>
              <w:jc w:val="both"/>
              <w:rPr>
                <w:rFonts w:ascii="Arial" w:eastAsia="Times New Roman" w:hAnsi="Arial"/>
                <w:bCs/>
                <w:spacing w:val="8"/>
                <w:sz w:val="16"/>
                <w:lang w:val="fr-FR" w:eastAsia="zh-CN"/>
              </w:rPr>
            </w:pPr>
            <w:r w:rsidRPr="008B705D">
              <w:rPr>
                <w:rFonts w:ascii="Arial" w:eastAsia="Times New Roman" w:hAnsi="Arial"/>
                <w:bCs/>
                <w:spacing w:val="8"/>
                <w:sz w:val="16"/>
                <w:lang w:val="fr-FR" w:eastAsia="zh-CN"/>
              </w:rPr>
              <w:t>Negligible</w:t>
            </w:r>
          </w:p>
        </w:tc>
        <w:tc>
          <w:tcPr>
            <w:tcW w:w="3024" w:type="dxa"/>
          </w:tcPr>
          <w:p w14:paraId="7E70AFA0" w14:textId="77777777" w:rsidR="008B705D" w:rsidRPr="008B705D" w:rsidRDefault="008B705D" w:rsidP="00EA647D">
            <w:pPr>
              <w:keepNext/>
              <w:snapToGrid w:val="0"/>
              <w:spacing w:before="60" w:after="60" w:line="240" w:lineRule="auto"/>
              <w:jc w:val="both"/>
              <w:rPr>
                <w:rFonts w:ascii="Arial" w:eastAsia="Times New Roman" w:hAnsi="Arial"/>
                <w:bCs/>
                <w:spacing w:val="8"/>
                <w:sz w:val="16"/>
                <w:lang w:val="fr-FR" w:eastAsia="zh-CN"/>
              </w:rPr>
            </w:pPr>
            <w:r w:rsidRPr="008B705D">
              <w:rPr>
                <w:rFonts w:ascii="Arial" w:eastAsia="Times New Roman" w:hAnsi="Arial"/>
                <w:bCs/>
                <w:spacing w:val="8"/>
                <w:sz w:val="16"/>
                <w:lang w:val="fr-FR" w:eastAsia="zh-CN"/>
              </w:rPr>
              <w:t>Negligible</w:t>
            </w:r>
          </w:p>
        </w:tc>
      </w:tr>
      <w:tr w:rsidR="008B705D" w:rsidRPr="008B705D" w14:paraId="45F21CAB" w14:textId="77777777" w:rsidTr="00DF4D93">
        <w:trPr>
          <w:cantSplit/>
          <w:jc w:val="center"/>
        </w:trPr>
        <w:tc>
          <w:tcPr>
            <w:tcW w:w="3023" w:type="dxa"/>
          </w:tcPr>
          <w:p w14:paraId="79DE3746" w14:textId="77777777" w:rsidR="008B705D" w:rsidRPr="008B705D" w:rsidRDefault="008B705D" w:rsidP="00EA647D">
            <w:pPr>
              <w:keepNext/>
              <w:snapToGrid w:val="0"/>
              <w:spacing w:before="60" w:after="60" w:line="240" w:lineRule="auto"/>
              <w:jc w:val="both"/>
              <w:rPr>
                <w:rFonts w:ascii="Arial" w:eastAsia="Times New Roman" w:hAnsi="Arial"/>
                <w:bCs/>
                <w:spacing w:val="8"/>
                <w:sz w:val="16"/>
                <w:lang w:val="en-GB" w:eastAsia="zh-CN"/>
              </w:rPr>
            </w:pPr>
            <w:r w:rsidRPr="008B705D">
              <w:rPr>
                <w:rFonts w:ascii="Arial" w:eastAsia="Times New Roman" w:hAnsi="Arial"/>
                <w:bCs/>
                <w:spacing w:val="8"/>
                <w:sz w:val="16"/>
                <w:lang w:val="en-GB" w:eastAsia="zh-CN"/>
              </w:rPr>
              <w:t>Ambient temperature</w:t>
            </w:r>
          </w:p>
        </w:tc>
        <w:tc>
          <w:tcPr>
            <w:tcW w:w="3023" w:type="dxa"/>
          </w:tcPr>
          <w:p w14:paraId="5CFB7290" w14:textId="77777777" w:rsidR="008B705D" w:rsidRPr="008B705D" w:rsidRDefault="008B705D" w:rsidP="00EA647D">
            <w:pPr>
              <w:keepNext/>
              <w:snapToGrid w:val="0"/>
              <w:spacing w:before="60" w:after="60" w:line="240" w:lineRule="auto"/>
              <w:jc w:val="both"/>
              <w:rPr>
                <w:rFonts w:ascii="Arial" w:eastAsia="Times New Roman" w:hAnsi="Arial"/>
                <w:bCs/>
                <w:spacing w:val="8"/>
                <w:sz w:val="16"/>
                <w:lang w:val="en-GB" w:eastAsia="zh-CN"/>
              </w:rPr>
            </w:pPr>
            <w:smartTag w:uri="urn:schemas-microsoft-com:office:smarttags" w:element="metricconverter">
              <w:smartTagPr>
                <w:attr w:name="ProductID" w:val="20 ﾰC"/>
              </w:smartTagPr>
              <w:r w:rsidRPr="008B705D">
                <w:rPr>
                  <w:rFonts w:ascii="Arial" w:eastAsia="Times New Roman" w:hAnsi="Arial"/>
                  <w:bCs/>
                  <w:spacing w:val="8"/>
                  <w:sz w:val="16"/>
                  <w:lang w:val="en-GB" w:eastAsia="zh-CN"/>
                </w:rPr>
                <w:t>20 °C</w:t>
              </w:r>
            </w:smartTag>
          </w:p>
        </w:tc>
        <w:tc>
          <w:tcPr>
            <w:tcW w:w="3024" w:type="dxa"/>
          </w:tcPr>
          <w:p w14:paraId="3566DB26" w14:textId="77777777" w:rsidR="008B705D" w:rsidRPr="008B705D" w:rsidRDefault="008B705D" w:rsidP="00EA647D">
            <w:pPr>
              <w:keepNext/>
              <w:snapToGrid w:val="0"/>
              <w:spacing w:before="60" w:after="60" w:line="240" w:lineRule="auto"/>
              <w:jc w:val="both"/>
              <w:rPr>
                <w:rFonts w:ascii="Arial" w:eastAsia="Times New Roman" w:hAnsi="Arial"/>
                <w:bCs/>
                <w:spacing w:val="8"/>
                <w:sz w:val="16"/>
                <w:lang w:val="en-GB" w:eastAsia="zh-CN"/>
              </w:rPr>
            </w:pPr>
            <w:smartTag w:uri="urn:schemas-microsoft-com:office:smarttags" w:element="metricconverter">
              <w:smartTagPr>
                <w:attr w:name="ProductID" w:val="18 ﾰC"/>
              </w:smartTagPr>
              <w:r w:rsidRPr="008B705D">
                <w:rPr>
                  <w:rFonts w:ascii="Arial" w:eastAsia="Times New Roman" w:hAnsi="Arial"/>
                  <w:bCs/>
                  <w:spacing w:val="8"/>
                  <w:sz w:val="16"/>
                  <w:lang w:val="en-GB" w:eastAsia="zh-CN"/>
                </w:rPr>
                <w:t>18 °C</w:t>
              </w:r>
            </w:smartTag>
            <w:r w:rsidRPr="008B705D">
              <w:rPr>
                <w:rFonts w:ascii="Arial" w:eastAsia="Times New Roman" w:hAnsi="Arial"/>
                <w:bCs/>
                <w:spacing w:val="8"/>
                <w:sz w:val="16"/>
                <w:lang w:val="en-GB" w:eastAsia="zh-CN"/>
              </w:rPr>
              <w:t xml:space="preserve"> to </w:t>
            </w:r>
            <w:smartTag w:uri="urn:schemas-microsoft-com:office:smarttags" w:element="metricconverter">
              <w:smartTagPr>
                <w:attr w:name="ProductID" w:val="22 ﾰC"/>
              </w:smartTagPr>
              <w:r w:rsidRPr="008B705D">
                <w:rPr>
                  <w:rFonts w:ascii="Arial" w:eastAsia="Times New Roman" w:hAnsi="Arial"/>
                  <w:bCs/>
                  <w:spacing w:val="8"/>
                  <w:sz w:val="16"/>
                  <w:lang w:val="en-GB" w:eastAsia="zh-CN"/>
                </w:rPr>
                <w:t>22 °C</w:t>
              </w:r>
            </w:smartTag>
          </w:p>
        </w:tc>
      </w:tr>
      <w:tr w:rsidR="008B705D" w:rsidRPr="008B705D" w14:paraId="75CB295D" w14:textId="77777777" w:rsidTr="00DF4D93">
        <w:trPr>
          <w:cantSplit/>
          <w:jc w:val="center"/>
        </w:trPr>
        <w:tc>
          <w:tcPr>
            <w:tcW w:w="3023" w:type="dxa"/>
          </w:tcPr>
          <w:p w14:paraId="74429A1E" w14:textId="77777777" w:rsidR="008B705D" w:rsidRPr="008B705D" w:rsidRDefault="008B705D" w:rsidP="00EA647D">
            <w:pPr>
              <w:keepNext/>
              <w:snapToGrid w:val="0"/>
              <w:spacing w:before="60" w:after="60" w:line="240" w:lineRule="auto"/>
              <w:jc w:val="both"/>
              <w:rPr>
                <w:rFonts w:ascii="Arial" w:eastAsia="Times New Roman" w:hAnsi="Arial"/>
                <w:bCs/>
                <w:spacing w:val="8"/>
                <w:sz w:val="16"/>
                <w:lang w:val="en-GB" w:eastAsia="zh-CN"/>
              </w:rPr>
            </w:pPr>
            <w:r w:rsidRPr="008B705D">
              <w:rPr>
                <w:rFonts w:ascii="Arial" w:eastAsia="Times New Roman" w:hAnsi="Arial"/>
                <w:bCs/>
                <w:spacing w:val="8"/>
                <w:sz w:val="16"/>
                <w:lang w:val="en-GB" w:eastAsia="zh-CN"/>
              </w:rPr>
              <w:t>Relative humidity</w:t>
            </w:r>
          </w:p>
        </w:tc>
        <w:tc>
          <w:tcPr>
            <w:tcW w:w="3023" w:type="dxa"/>
          </w:tcPr>
          <w:p w14:paraId="3A1F7479" w14:textId="77777777" w:rsidR="008B705D" w:rsidRPr="008B705D" w:rsidRDefault="008B705D" w:rsidP="00EA647D">
            <w:pPr>
              <w:keepNext/>
              <w:snapToGrid w:val="0"/>
              <w:spacing w:before="60" w:after="60" w:line="240" w:lineRule="auto"/>
              <w:jc w:val="both"/>
              <w:rPr>
                <w:rFonts w:ascii="Arial" w:eastAsia="Times New Roman" w:hAnsi="Arial"/>
                <w:bCs/>
                <w:spacing w:val="8"/>
                <w:sz w:val="16"/>
                <w:lang w:val="en-GB" w:eastAsia="zh-CN"/>
              </w:rPr>
            </w:pPr>
            <w:r w:rsidRPr="008B705D">
              <w:rPr>
                <w:rFonts w:ascii="Arial" w:eastAsia="Times New Roman" w:hAnsi="Arial"/>
                <w:bCs/>
                <w:spacing w:val="8"/>
                <w:sz w:val="16"/>
                <w:lang w:val="en-GB" w:eastAsia="zh-CN"/>
              </w:rPr>
              <w:t>65 %</w:t>
            </w:r>
          </w:p>
        </w:tc>
        <w:tc>
          <w:tcPr>
            <w:tcW w:w="3024" w:type="dxa"/>
          </w:tcPr>
          <w:p w14:paraId="63C41E4C" w14:textId="77777777" w:rsidR="008B705D" w:rsidRPr="008B705D" w:rsidRDefault="008B705D" w:rsidP="00EA647D">
            <w:pPr>
              <w:keepNext/>
              <w:snapToGrid w:val="0"/>
              <w:spacing w:before="60" w:after="60" w:line="240" w:lineRule="auto"/>
              <w:jc w:val="both"/>
              <w:rPr>
                <w:rFonts w:ascii="Arial" w:eastAsia="Times New Roman" w:hAnsi="Arial"/>
                <w:bCs/>
                <w:spacing w:val="8"/>
                <w:sz w:val="16"/>
                <w:lang w:val="en-GB" w:eastAsia="zh-CN"/>
              </w:rPr>
            </w:pPr>
            <w:r w:rsidRPr="008B705D">
              <w:rPr>
                <w:rFonts w:ascii="Arial" w:eastAsia="Times New Roman" w:hAnsi="Arial"/>
                <w:bCs/>
                <w:spacing w:val="8"/>
                <w:sz w:val="16"/>
                <w:lang w:val="en-GB" w:eastAsia="zh-CN"/>
              </w:rPr>
              <w:t>50 % to 75 %</w:t>
            </w:r>
          </w:p>
        </w:tc>
      </w:tr>
      <w:tr w:rsidR="008B705D" w:rsidRPr="008B705D" w14:paraId="703864A0" w14:textId="77777777" w:rsidTr="00DF4D93">
        <w:trPr>
          <w:cantSplit/>
          <w:jc w:val="center"/>
        </w:trPr>
        <w:tc>
          <w:tcPr>
            <w:tcW w:w="3023" w:type="dxa"/>
          </w:tcPr>
          <w:p w14:paraId="0DFEDA3C" w14:textId="77777777" w:rsidR="008B705D" w:rsidRPr="008B705D" w:rsidRDefault="008B705D" w:rsidP="00EA647D">
            <w:pPr>
              <w:keepNext/>
              <w:snapToGrid w:val="0"/>
              <w:spacing w:before="60" w:after="60" w:line="240" w:lineRule="auto"/>
              <w:jc w:val="both"/>
              <w:rPr>
                <w:rFonts w:ascii="Arial" w:eastAsia="Times New Roman" w:hAnsi="Arial"/>
                <w:bCs/>
                <w:spacing w:val="8"/>
                <w:sz w:val="16"/>
                <w:lang w:val="en-GB" w:eastAsia="zh-CN"/>
              </w:rPr>
            </w:pPr>
            <w:r w:rsidRPr="008B705D">
              <w:rPr>
                <w:rFonts w:ascii="Arial" w:eastAsia="Times New Roman" w:hAnsi="Arial"/>
                <w:bCs/>
                <w:spacing w:val="8"/>
                <w:sz w:val="16"/>
                <w:lang w:val="en-GB" w:eastAsia="zh-CN"/>
              </w:rPr>
              <w:t>Atmospheric pressure</w:t>
            </w:r>
          </w:p>
        </w:tc>
        <w:tc>
          <w:tcPr>
            <w:tcW w:w="3023" w:type="dxa"/>
          </w:tcPr>
          <w:p w14:paraId="0506F69C" w14:textId="77777777" w:rsidR="008B705D" w:rsidRPr="008B705D" w:rsidRDefault="008B705D" w:rsidP="00EA647D">
            <w:pPr>
              <w:keepNext/>
              <w:snapToGrid w:val="0"/>
              <w:spacing w:before="60" w:after="60" w:line="240" w:lineRule="auto"/>
              <w:jc w:val="both"/>
              <w:rPr>
                <w:rFonts w:ascii="Arial" w:eastAsia="Times New Roman" w:hAnsi="Arial"/>
                <w:bCs/>
                <w:spacing w:val="8"/>
                <w:sz w:val="16"/>
                <w:lang w:val="en-GB" w:eastAsia="zh-CN"/>
              </w:rPr>
            </w:pPr>
            <w:r w:rsidRPr="008B705D">
              <w:rPr>
                <w:rFonts w:ascii="Arial" w:eastAsia="Times New Roman" w:hAnsi="Arial"/>
                <w:bCs/>
                <w:spacing w:val="8"/>
                <w:sz w:val="16"/>
                <w:lang w:val="en-GB" w:eastAsia="zh-CN"/>
              </w:rPr>
              <w:t>1013 hPa</w:t>
            </w:r>
          </w:p>
        </w:tc>
        <w:tc>
          <w:tcPr>
            <w:tcW w:w="3024" w:type="dxa"/>
          </w:tcPr>
          <w:p w14:paraId="772F64BB" w14:textId="77777777" w:rsidR="008B705D" w:rsidRPr="008B705D" w:rsidRDefault="008B705D" w:rsidP="00EA647D">
            <w:pPr>
              <w:keepNext/>
              <w:snapToGrid w:val="0"/>
              <w:spacing w:before="60" w:after="60" w:line="240" w:lineRule="auto"/>
              <w:jc w:val="both"/>
              <w:rPr>
                <w:rFonts w:ascii="Arial" w:eastAsia="Times New Roman" w:hAnsi="Arial"/>
                <w:bCs/>
                <w:spacing w:val="8"/>
                <w:sz w:val="16"/>
                <w:lang w:val="en-GB" w:eastAsia="zh-CN"/>
              </w:rPr>
            </w:pPr>
            <w:r w:rsidRPr="008B705D">
              <w:rPr>
                <w:rFonts w:ascii="Arial" w:eastAsia="Times New Roman" w:hAnsi="Arial"/>
                <w:bCs/>
                <w:spacing w:val="8"/>
                <w:sz w:val="16"/>
                <w:lang w:val="en-GB" w:eastAsia="zh-CN"/>
              </w:rPr>
              <w:t>980 hPa to 1030 hPa</w:t>
            </w:r>
          </w:p>
        </w:tc>
      </w:tr>
      <w:tr w:rsidR="008B705D" w:rsidRPr="008B705D" w14:paraId="1A027C07" w14:textId="77777777" w:rsidTr="00DF4D93">
        <w:trPr>
          <w:cantSplit/>
          <w:jc w:val="center"/>
        </w:trPr>
        <w:tc>
          <w:tcPr>
            <w:tcW w:w="3023" w:type="dxa"/>
          </w:tcPr>
          <w:p w14:paraId="3E79305B" w14:textId="77777777" w:rsidR="008B705D" w:rsidRPr="008B705D" w:rsidRDefault="008B705D" w:rsidP="00EA647D">
            <w:pPr>
              <w:keepNext/>
              <w:snapToGrid w:val="0"/>
              <w:spacing w:before="60" w:after="60" w:line="240" w:lineRule="auto"/>
              <w:jc w:val="both"/>
              <w:rPr>
                <w:rFonts w:ascii="Arial" w:eastAsia="Times New Roman" w:hAnsi="Arial"/>
                <w:bCs/>
                <w:spacing w:val="8"/>
                <w:sz w:val="16"/>
                <w:lang w:val="en-GB" w:eastAsia="zh-CN"/>
              </w:rPr>
            </w:pPr>
            <w:r w:rsidRPr="008B705D">
              <w:rPr>
                <w:rFonts w:ascii="Arial" w:eastAsia="Times New Roman" w:hAnsi="Arial"/>
                <w:bCs/>
                <w:spacing w:val="8"/>
                <w:sz w:val="16"/>
                <w:lang w:val="en-GB" w:eastAsia="zh-CN"/>
              </w:rPr>
              <w:t>Ambient dose equivalent rate</w:t>
            </w:r>
          </w:p>
        </w:tc>
        <w:tc>
          <w:tcPr>
            <w:tcW w:w="3023" w:type="dxa"/>
          </w:tcPr>
          <w:p w14:paraId="4A40F1FE" w14:textId="77777777" w:rsidR="008B705D" w:rsidRPr="008B705D" w:rsidRDefault="008B705D" w:rsidP="00EA647D">
            <w:pPr>
              <w:keepNext/>
              <w:snapToGrid w:val="0"/>
              <w:spacing w:before="60" w:after="60" w:line="240" w:lineRule="auto"/>
              <w:jc w:val="both"/>
              <w:rPr>
                <w:rFonts w:ascii="Arial" w:eastAsia="Times New Roman" w:hAnsi="Arial"/>
                <w:bCs/>
                <w:spacing w:val="8"/>
                <w:sz w:val="16"/>
                <w:lang w:val="en-GB" w:eastAsia="zh-CN"/>
              </w:rPr>
            </w:pPr>
            <w:r w:rsidRPr="008B705D">
              <w:rPr>
                <w:rFonts w:ascii="Arial" w:eastAsia="Times New Roman" w:hAnsi="Arial"/>
                <w:bCs/>
                <w:spacing w:val="8"/>
                <w:sz w:val="16"/>
                <w:lang w:val="en-GB" w:eastAsia="zh-CN"/>
              </w:rPr>
              <w:t>Laboratory background</w:t>
            </w:r>
          </w:p>
        </w:tc>
        <w:tc>
          <w:tcPr>
            <w:tcW w:w="3024" w:type="dxa"/>
          </w:tcPr>
          <w:p w14:paraId="38907C6F" w14:textId="77777777" w:rsidR="008B705D" w:rsidRPr="008B705D" w:rsidRDefault="008B705D" w:rsidP="00EA647D">
            <w:pPr>
              <w:keepNext/>
              <w:snapToGrid w:val="0"/>
              <w:spacing w:before="60" w:after="60" w:line="240" w:lineRule="auto"/>
              <w:jc w:val="both"/>
              <w:rPr>
                <w:rFonts w:ascii="Arial" w:eastAsia="Times New Roman" w:hAnsi="Arial"/>
                <w:bCs/>
                <w:spacing w:val="8"/>
                <w:sz w:val="16"/>
                <w:lang w:val="en-GB" w:eastAsia="zh-CN"/>
              </w:rPr>
            </w:pPr>
            <w:r w:rsidRPr="008B705D">
              <w:rPr>
                <w:rFonts w:ascii="Arial" w:eastAsia="Times New Roman" w:hAnsi="Arial"/>
                <w:bCs/>
                <w:spacing w:val="8"/>
                <w:sz w:val="16"/>
                <w:lang w:val="en-GB" w:eastAsia="zh-CN"/>
              </w:rPr>
              <w:t>Laboratory background,</w:t>
            </w:r>
            <w:r w:rsidRPr="008B705D">
              <w:rPr>
                <w:rFonts w:ascii="Arial" w:eastAsia="Times New Roman" w:hAnsi="Arial"/>
                <w:bCs/>
                <w:spacing w:val="8"/>
                <w:sz w:val="16"/>
                <w:lang w:val="en-GB" w:eastAsia="zh-CN"/>
              </w:rPr>
              <w:br/>
            </w:r>
            <w:r w:rsidRPr="008B705D">
              <w:rPr>
                <w:rFonts w:ascii="Symbol" w:eastAsia="Times New Roman" w:hAnsi="Symbol"/>
                <w:bCs/>
                <w:spacing w:val="8"/>
                <w:sz w:val="16"/>
                <w:lang w:val="en-GB" w:eastAsia="zh-CN"/>
              </w:rPr>
              <w:t></w:t>
            </w:r>
            <w:r w:rsidRPr="008B705D">
              <w:rPr>
                <w:rFonts w:ascii="Arial" w:eastAsia="Times New Roman" w:hAnsi="Arial"/>
                <w:bCs/>
                <w:spacing w:val="8"/>
                <w:sz w:val="16"/>
                <w:lang w:val="en-GB" w:eastAsia="zh-CN"/>
              </w:rPr>
              <w:t xml:space="preserve">0,20 </w:t>
            </w:r>
            <w:r w:rsidRPr="008B705D">
              <w:rPr>
                <w:rFonts w:ascii="Symbol" w:eastAsia="Times New Roman" w:hAnsi="Symbol"/>
                <w:bCs/>
                <w:spacing w:val="8"/>
                <w:sz w:val="16"/>
                <w:lang w:val="en-GB" w:eastAsia="zh-CN"/>
              </w:rPr>
              <w:t></w:t>
            </w:r>
            <w:r w:rsidRPr="008B705D">
              <w:rPr>
                <w:rFonts w:ascii="Arial" w:eastAsia="Times New Roman" w:hAnsi="Arial"/>
                <w:bCs/>
                <w:spacing w:val="8"/>
                <w:sz w:val="16"/>
                <w:lang w:val="en-GB" w:eastAsia="zh-CN"/>
              </w:rPr>
              <w:t>Sv</w:t>
            </w:r>
            <w:r w:rsidRPr="008B705D">
              <w:rPr>
                <w:rFonts w:ascii="Arial" w:eastAsia="Times New Roman" w:hAnsi="Arial"/>
                <w:bCs/>
                <w:spacing w:val="8"/>
                <w:sz w:val="16"/>
                <w:lang w:val="en-GB" w:eastAsia="zh-CN"/>
              </w:rPr>
              <w:sym w:font="Symbol" w:char="F0D7"/>
            </w:r>
            <w:r w:rsidRPr="008B705D">
              <w:rPr>
                <w:rFonts w:ascii="Arial" w:eastAsia="Times New Roman" w:hAnsi="Arial"/>
                <w:bCs/>
                <w:spacing w:val="8"/>
                <w:sz w:val="16"/>
                <w:lang w:val="en-GB" w:eastAsia="zh-CN"/>
              </w:rPr>
              <w:t>h</w:t>
            </w:r>
            <w:r w:rsidRPr="008B705D">
              <w:rPr>
                <w:rFonts w:ascii="Arial" w:eastAsia="Times New Roman" w:hAnsi="Arial"/>
                <w:bCs/>
                <w:spacing w:val="8"/>
                <w:position w:val="6"/>
                <w:sz w:val="12"/>
                <w:szCs w:val="16"/>
                <w:lang w:val="en-GB" w:eastAsia="zh-CN"/>
              </w:rPr>
              <w:t>–1</w:t>
            </w:r>
          </w:p>
        </w:tc>
      </w:tr>
      <w:tr w:rsidR="008B705D" w:rsidRPr="008B705D" w14:paraId="39A8F515" w14:textId="77777777" w:rsidTr="00DF4D93">
        <w:trPr>
          <w:cantSplit/>
          <w:jc w:val="center"/>
        </w:trPr>
        <w:tc>
          <w:tcPr>
            <w:tcW w:w="3023" w:type="dxa"/>
          </w:tcPr>
          <w:p w14:paraId="6C5CD9E1" w14:textId="77777777" w:rsidR="008B705D" w:rsidRPr="008B705D" w:rsidRDefault="008B705D" w:rsidP="00EA647D">
            <w:pPr>
              <w:keepNext/>
              <w:snapToGrid w:val="0"/>
              <w:spacing w:before="60" w:after="60" w:line="240" w:lineRule="auto"/>
              <w:jc w:val="both"/>
              <w:rPr>
                <w:rFonts w:ascii="Arial" w:eastAsia="Times New Roman" w:hAnsi="Arial"/>
                <w:bCs/>
                <w:spacing w:val="8"/>
                <w:sz w:val="16"/>
                <w:lang w:val="en-GB" w:eastAsia="zh-CN"/>
              </w:rPr>
            </w:pPr>
            <w:r w:rsidRPr="008B705D">
              <w:rPr>
                <w:rFonts w:ascii="Arial" w:eastAsia="Times New Roman" w:hAnsi="Arial"/>
                <w:bCs/>
                <w:spacing w:val="8"/>
                <w:sz w:val="16"/>
                <w:lang w:val="en-GB" w:eastAsia="zh-CN"/>
              </w:rPr>
              <w:t>Electromagnetic field of external origin</w:t>
            </w:r>
          </w:p>
        </w:tc>
        <w:tc>
          <w:tcPr>
            <w:tcW w:w="3023" w:type="dxa"/>
          </w:tcPr>
          <w:p w14:paraId="411F7590" w14:textId="77777777" w:rsidR="008B705D" w:rsidRPr="008B705D" w:rsidRDefault="008B705D" w:rsidP="00EA647D">
            <w:pPr>
              <w:keepNext/>
              <w:snapToGrid w:val="0"/>
              <w:spacing w:before="60" w:after="60" w:line="240" w:lineRule="auto"/>
              <w:jc w:val="both"/>
              <w:rPr>
                <w:rFonts w:ascii="Arial" w:eastAsia="Times New Roman" w:hAnsi="Arial"/>
                <w:bCs/>
                <w:spacing w:val="8"/>
                <w:sz w:val="16"/>
                <w:lang w:val="en-GB" w:eastAsia="zh-CN"/>
              </w:rPr>
            </w:pPr>
            <w:r w:rsidRPr="008B705D">
              <w:rPr>
                <w:rFonts w:ascii="Arial" w:eastAsia="Times New Roman" w:hAnsi="Arial"/>
                <w:bCs/>
                <w:spacing w:val="8"/>
                <w:sz w:val="16"/>
                <w:lang w:val="en-GB" w:eastAsia="zh-CN"/>
              </w:rPr>
              <w:t>Negligible</w:t>
            </w:r>
          </w:p>
        </w:tc>
        <w:tc>
          <w:tcPr>
            <w:tcW w:w="3024" w:type="dxa"/>
          </w:tcPr>
          <w:p w14:paraId="6EEDF3A5" w14:textId="77777777" w:rsidR="008B705D" w:rsidRPr="008B705D" w:rsidRDefault="008B705D" w:rsidP="00EA647D">
            <w:pPr>
              <w:keepNext/>
              <w:snapToGrid w:val="0"/>
              <w:spacing w:before="60" w:after="60" w:line="240" w:lineRule="auto"/>
              <w:jc w:val="both"/>
              <w:rPr>
                <w:rFonts w:ascii="Arial" w:eastAsia="Times New Roman" w:hAnsi="Arial"/>
                <w:bCs/>
                <w:spacing w:val="8"/>
                <w:sz w:val="16"/>
                <w:lang w:val="en-GB" w:eastAsia="zh-CN"/>
              </w:rPr>
            </w:pPr>
            <w:r w:rsidRPr="008B705D">
              <w:rPr>
                <w:rFonts w:ascii="Arial" w:eastAsia="Times New Roman" w:hAnsi="Arial"/>
                <w:bCs/>
                <w:spacing w:val="8"/>
                <w:sz w:val="16"/>
                <w:lang w:val="en-GB" w:eastAsia="zh-CN"/>
              </w:rPr>
              <w:t>Negligible</w:t>
            </w:r>
          </w:p>
        </w:tc>
      </w:tr>
      <w:tr w:rsidR="008B705D" w:rsidRPr="008B705D" w14:paraId="3D554EE7" w14:textId="77777777" w:rsidTr="00DF4D93">
        <w:trPr>
          <w:cantSplit/>
          <w:jc w:val="center"/>
        </w:trPr>
        <w:tc>
          <w:tcPr>
            <w:tcW w:w="3023" w:type="dxa"/>
          </w:tcPr>
          <w:p w14:paraId="21CEEF16" w14:textId="77777777" w:rsidR="008B705D" w:rsidRPr="008B705D" w:rsidRDefault="008B705D" w:rsidP="00EA647D">
            <w:pPr>
              <w:keepNext/>
              <w:snapToGrid w:val="0"/>
              <w:spacing w:before="60" w:after="60" w:line="240" w:lineRule="auto"/>
              <w:jc w:val="both"/>
              <w:rPr>
                <w:rFonts w:ascii="Arial" w:eastAsia="Times New Roman" w:hAnsi="Arial"/>
                <w:bCs/>
                <w:spacing w:val="8"/>
                <w:sz w:val="16"/>
                <w:lang w:val="en-GB" w:eastAsia="zh-CN"/>
              </w:rPr>
            </w:pPr>
            <w:r w:rsidRPr="008B705D">
              <w:rPr>
                <w:rFonts w:ascii="Arial" w:eastAsia="Times New Roman" w:hAnsi="Arial"/>
                <w:bCs/>
                <w:spacing w:val="8"/>
                <w:sz w:val="16"/>
                <w:lang w:val="en-GB" w:eastAsia="zh-CN"/>
              </w:rPr>
              <w:t>Magnetic induction of external origin</w:t>
            </w:r>
          </w:p>
        </w:tc>
        <w:tc>
          <w:tcPr>
            <w:tcW w:w="3023" w:type="dxa"/>
          </w:tcPr>
          <w:p w14:paraId="1AB6EB46" w14:textId="77777777" w:rsidR="008B705D" w:rsidRPr="008B705D" w:rsidRDefault="008B705D" w:rsidP="00EA647D">
            <w:pPr>
              <w:keepNext/>
              <w:snapToGrid w:val="0"/>
              <w:spacing w:before="60" w:after="60" w:line="240" w:lineRule="auto"/>
              <w:jc w:val="both"/>
              <w:rPr>
                <w:rFonts w:ascii="Arial" w:eastAsia="Times New Roman" w:hAnsi="Arial"/>
                <w:bCs/>
                <w:spacing w:val="8"/>
                <w:sz w:val="16"/>
                <w:lang w:val="en-GB" w:eastAsia="zh-CN"/>
              </w:rPr>
            </w:pPr>
            <w:r w:rsidRPr="008B705D">
              <w:rPr>
                <w:rFonts w:ascii="Arial" w:eastAsia="Times New Roman" w:hAnsi="Arial"/>
                <w:bCs/>
                <w:spacing w:val="8"/>
                <w:sz w:val="16"/>
                <w:lang w:val="en-GB" w:eastAsia="zh-CN"/>
              </w:rPr>
              <w:t>Negligible</w:t>
            </w:r>
          </w:p>
        </w:tc>
        <w:tc>
          <w:tcPr>
            <w:tcW w:w="3024" w:type="dxa"/>
          </w:tcPr>
          <w:p w14:paraId="766C8C75" w14:textId="77777777" w:rsidR="008B705D" w:rsidRPr="008B705D" w:rsidRDefault="008B705D" w:rsidP="00EA647D">
            <w:pPr>
              <w:keepNext/>
              <w:snapToGrid w:val="0"/>
              <w:spacing w:before="60" w:after="60" w:line="240" w:lineRule="auto"/>
              <w:jc w:val="both"/>
              <w:rPr>
                <w:rFonts w:ascii="Arial" w:eastAsia="Times New Roman" w:hAnsi="Arial"/>
                <w:bCs/>
                <w:spacing w:val="8"/>
                <w:sz w:val="16"/>
                <w:lang w:val="en-GB" w:eastAsia="zh-CN"/>
              </w:rPr>
            </w:pPr>
            <w:r w:rsidRPr="008B705D">
              <w:rPr>
                <w:rFonts w:ascii="Arial" w:eastAsia="Times New Roman" w:hAnsi="Arial"/>
                <w:bCs/>
                <w:spacing w:val="8"/>
                <w:sz w:val="16"/>
                <w:lang w:val="en-GB" w:eastAsia="zh-CN"/>
              </w:rPr>
              <w:t>Negligible</w:t>
            </w:r>
          </w:p>
        </w:tc>
      </w:tr>
      <w:tr w:rsidR="008B705D" w:rsidRPr="00BE33B4" w14:paraId="6EDB8916" w14:textId="77777777" w:rsidTr="00DF4D93">
        <w:trPr>
          <w:cantSplit/>
          <w:jc w:val="center"/>
        </w:trPr>
        <w:tc>
          <w:tcPr>
            <w:tcW w:w="3023" w:type="dxa"/>
          </w:tcPr>
          <w:p w14:paraId="0CC0CB10" w14:textId="77777777" w:rsidR="008B705D" w:rsidRPr="008B705D" w:rsidRDefault="008B705D" w:rsidP="00EA647D">
            <w:pPr>
              <w:keepNext/>
              <w:snapToGrid w:val="0"/>
              <w:spacing w:before="60" w:after="60" w:line="240" w:lineRule="auto"/>
              <w:jc w:val="both"/>
              <w:rPr>
                <w:rFonts w:ascii="Arial" w:eastAsia="Times New Roman" w:hAnsi="Arial"/>
                <w:bCs/>
                <w:spacing w:val="8"/>
                <w:sz w:val="16"/>
                <w:lang w:val="en-GB" w:eastAsia="zh-CN"/>
              </w:rPr>
            </w:pPr>
            <w:r w:rsidRPr="008B705D">
              <w:rPr>
                <w:rFonts w:ascii="Arial" w:eastAsia="Times New Roman" w:hAnsi="Arial"/>
                <w:bCs/>
                <w:spacing w:val="8"/>
                <w:sz w:val="16"/>
                <w:lang w:val="en-GB" w:eastAsia="zh-CN"/>
              </w:rPr>
              <w:t>Radio frequency</w:t>
            </w:r>
          </w:p>
        </w:tc>
        <w:tc>
          <w:tcPr>
            <w:tcW w:w="3023" w:type="dxa"/>
          </w:tcPr>
          <w:p w14:paraId="5B3AE1CE" w14:textId="77777777" w:rsidR="008B705D" w:rsidRPr="008B705D" w:rsidRDefault="008B705D" w:rsidP="00EA647D">
            <w:pPr>
              <w:keepNext/>
              <w:snapToGrid w:val="0"/>
              <w:spacing w:before="60" w:after="60" w:line="240" w:lineRule="auto"/>
              <w:jc w:val="both"/>
              <w:rPr>
                <w:rFonts w:ascii="Arial" w:eastAsia="Times New Roman" w:hAnsi="Arial"/>
                <w:bCs/>
                <w:spacing w:val="8"/>
                <w:sz w:val="16"/>
                <w:lang w:val="en-GB" w:eastAsia="zh-CN"/>
              </w:rPr>
            </w:pPr>
            <w:r w:rsidRPr="008B705D">
              <w:rPr>
                <w:rFonts w:ascii="Arial" w:eastAsia="Times New Roman" w:hAnsi="Arial"/>
                <w:bCs/>
                <w:spacing w:val="8"/>
                <w:sz w:val="16"/>
                <w:lang w:val="en-GB" w:eastAsia="zh-CN"/>
              </w:rPr>
              <w:t>Negligible</w:t>
            </w:r>
          </w:p>
        </w:tc>
        <w:tc>
          <w:tcPr>
            <w:tcW w:w="3024" w:type="dxa"/>
          </w:tcPr>
          <w:p w14:paraId="7CF57020" w14:textId="77777777" w:rsidR="008B705D" w:rsidRPr="008B705D" w:rsidRDefault="008B705D" w:rsidP="00EA647D">
            <w:pPr>
              <w:keepNext/>
              <w:snapToGrid w:val="0"/>
              <w:spacing w:before="60" w:after="60" w:line="240" w:lineRule="auto"/>
              <w:jc w:val="both"/>
              <w:rPr>
                <w:rFonts w:ascii="Arial" w:eastAsia="Times New Roman" w:hAnsi="Arial"/>
                <w:bCs/>
                <w:spacing w:val="8"/>
                <w:sz w:val="16"/>
                <w:lang w:val="en-GB" w:eastAsia="zh-CN"/>
              </w:rPr>
            </w:pPr>
            <w:r w:rsidRPr="008B705D">
              <w:rPr>
                <w:rFonts w:ascii="Arial" w:eastAsia="Times New Roman" w:hAnsi="Arial"/>
                <w:bCs/>
                <w:spacing w:val="8"/>
                <w:sz w:val="16"/>
                <w:lang w:val="en-GB" w:eastAsia="zh-CN"/>
              </w:rPr>
              <w:t>Less than the lowest value that causes interference</w:t>
            </w:r>
          </w:p>
        </w:tc>
      </w:tr>
    </w:tbl>
    <w:p w14:paraId="77270ECB" w14:textId="77777777" w:rsidR="008B705D" w:rsidRPr="008B705D" w:rsidRDefault="008B705D" w:rsidP="00EA647D">
      <w:pPr>
        <w:spacing w:after="100"/>
        <w:jc w:val="both"/>
        <w:rPr>
          <w:lang w:val="en-US"/>
        </w:rPr>
      </w:pPr>
    </w:p>
    <w:p w14:paraId="40B69A94" w14:textId="77777777" w:rsidR="008B705D" w:rsidRPr="00F27829" w:rsidRDefault="008B705D" w:rsidP="00F27829">
      <w:pPr>
        <w:pStyle w:val="ListParagraph"/>
        <w:numPr>
          <w:ilvl w:val="0"/>
          <w:numId w:val="41"/>
        </w:numPr>
        <w:spacing w:before="120" w:after="120"/>
        <w:ind w:left="714" w:hanging="357"/>
        <w:contextualSpacing w:val="0"/>
        <w:jc w:val="both"/>
        <w:rPr>
          <w:lang w:val="en-US"/>
        </w:rPr>
      </w:pPr>
      <w:r w:rsidRPr="00F27829">
        <w:rPr>
          <w:lang w:val="en-US"/>
        </w:rPr>
        <w:t>The uncertainty of the calibration factor or function has a significant influence on the uncertainty of the radon measurements performed by customers on site. It results from the uncertainty of the reference radon atmosphere provided by the calibration service and the fluctuations of the instrument's indication due to the statistical nature of the radiation detection.</w:t>
      </w:r>
    </w:p>
    <w:p w14:paraId="2BDC44CE" w14:textId="77777777" w:rsidR="008B705D" w:rsidRPr="00F27829" w:rsidRDefault="008B705D" w:rsidP="00F27829">
      <w:pPr>
        <w:pStyle w:val="ListParagraph"/>
        <w:numPr>
          <w:ilvl w:val="0"/>
          <w:numId w:val="42"/>
        </w:numPr>
        <w:spacing w:after="100"/>
        <w:jc w:val="both"/>
        <w:rPr>
          <w:lang w:val="en-US"/>
        </w:rPr>
      </w:pPr>
      <w:r w:rsidRPr="00F27829">
        <w:rPr>
          <w:lang w:val="en-US"/>
        </w:rPr>
        <w:t>The calibration service should take measures to limit the fluctuations of the instrument's indication. For this purpose, the following should be considered:</w:t>
      </w:r>
    </w:p>
    <w:p w14:paraId="3C4862DC" w14:textId="77777777" w:rsidR="008B705D" w:rsidRPr="008B705D" w:rsidRDefault="008B705D" w:rsidP="00F27829">
      <w:pPr>
        <w:numPr>
          <w:ilvl w:val="0"/>
          <w:numId w:val="23"/>
        </w:numPr>
        <w:spacing w:after="100"/>
        <w:ind w:left="1286" w:hanging="283"/>
        <w:contextualSpacing/>
        <w:jc w:val="both"/>
        <w:rPr>
          <w:lang w:val="en-US"/>
        </w:rPr>
      </w:pPr>
      <w:r w:rsidRPr="008B705D">
        <w:rPr>
          <w:lang w:val="en-US"/>
        </w:rPr>
        <w:t xml:space="preserve">The relative uncertainty of the calibration factor is proportional to </w:t>
      </w:r>
      <m:oMath>
        <m:r>
          <w:rPr>
            <w:rFonts w:ascii="Cambria Math" w:hAnsi="Cambria Math"/>
            <w:lang w:val="en-US"/>
          </w:rPr>
          <m:t>~</m:t>
        </m:r>
        <m:f>
          <m:fPr>
            <m:type m:val="skw"/>
            <m:ctrlPr>
              <w:rPr>
                <w:rFonts w:ascii="Cambria Math" w:hAnsi="Cambria Math"/>
                <w:i/>
                <w:lang w:val="en-US"/>
              </w:rPr>
            </m:ctrlPr>
          </m:fPr>
          <m:num>
            <m:r>
              <w:rPr>
                <w:rFonts w:ascii="Cambria Math" w:hAnsi="Cambria Math"/>
                <w:lang w:val="en-US"/>
              </w:rPr>
              <m:t>1</m:t>
            </m:r>
          </m:num>
          <m:den>
            <m:rad>
              <m:radPr>
                <m:degHide m:val="1"/>
                <m:ctrlPr>
                  <w:rPr>
                    <w:rFonts w:ascii="Cambria Math" w:hAnsi="Cambria Math"/>
                    <w:i/>
                    <w:lang w:val="en-US"/>
                  </w:rPr>
                </m:ctrlPr>
              </m:radPr>
              <m:deg/>
              <m:e>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exp</m:t>
                    </m:r>
                  </m:sub>
                </m:sSub>
              </m:e>
            </m:rad>
          </m:den>
        </m:f>
      </m:oMath>
      <w:r w:rsidRPr="008B705D">
        <w:rPr>
          <w:lang w:val="en-US"/>
        </w:rPr>
        <w:t>.</w:t>
      </w:r>
    </w:p>
    <w:p w14:paraId="40056B76" w14:textId="77777777" w:rsidR="008B705D" w:rsidRPr="008B705D" w:rsidRDefault="008B705D" w:rsidP="00F27829">
      <w:pPr>
        <w:spacing w:after="100"/>
        <w:ind w:left="1286"/>
        <w:jc w:val="both"/>
        <w:rPr>
          <w:lang w:val="en-US"/>
        </w:rPr>
      </w:pPr>
      <w:r w:rsidRPr="008B705D">
        <w:rPr>
          <w:lang w:val="en-US"/>
        </w:rPr>
        <w:t xml:space="preserve">The greater the time interval of exposure,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exp</m:t>
            </m:r>
          </m:sub>
        </m:sSub>
      </m:oMath>
      <w:r w:rsidRPr="008B705D">
        <w:rPr>
          <w:lang w:val="en-US"/>
        </w:rPr>
        <w:t>, the smaller the uncertainty. An extension of the exposure time has a greater influence on the uncertainty for short periods. The longer the exposure time is already, the smaller is the influence of a further extension.</w:t>
      </w:r>
    </w:p>
    <w:p w14:paraId="2AF86A08" w14:textId="77777777" w:rsidR="008B705D" w:rsidRPr="008B705D" w:rsidRDefault="008B705D" w:rsidP="00F27829">
      <w:pPr>
        <w:numPr>
          <w:ilvl w:val="0"/>
          <w:numId w:val="23"/>
        </w:numPr>
        <w:spacing w:after="100"/>
        <w:ind w:left="1286" w:hanging="283"/>
        <w:contextualSpacing/>
        <w:jc w:val="both"/>
        <w:rPr>
          <w:lang w:val="en-US"/>
        </w:rPr>
      </w:pPr>
      <w:r w:rsidRPr="008B705D">
        <w:rPr>
          <w:lang w:val="en-US"/>
        </w:rPr>
        <w:t>Calibrations shall be performed at sufficiently high radon activity concentrations to minimize the influence of the background.</w:t>
      </w:r>
    </w:p>
    <w:p w14:paraId="1708786B" w14:textId="77777777" w:rsidR="008B705D" w:rsidRPr="008B705D" w:rsidRDefault="008B705D" w:rsidP="00F27829">
      <w:pPr>
        <w:numPr>
          <w:ilvl w:val="0"/>
          <w:numId w:val="23"/>
        </w:numPr>
        <w:spacing w:after="100"/>
        <w:ind w:left="1286" w:hanging="283"/>
        <w:contextualSpacing/>
        <w:jc w:val="both"/>
        <w:rPr>
          <w:lang w:val="en-US"/>
        </w:rPr>
      </w:pPr>
      <w:r w:rsidRPr="008B705D">
        <w:rPr>
          <w:lang w:val="en-US"/>
        </w:rPr>
        <w:t xml:space="preserve">The relative uncertainty of the calibration factor is proportional to </w:t>
      </w:r>
      <m:oMath>
        <m:r>
          <w:rPr>
            <w:rFonts w:ascii="Cambria Math" w:hAnsi="Cambria Math"/>
            <w:lang w:val="en-US"/>
          </w:rPr>
          <m:t>~</m:t>
        </m:r>
        <m:f>
          <m:fPr>
            <m:type m:val="skw"/>
            <m:ctrlPr>
              <w:rPr>
                <w:rFonts w:ascii="Cambria Math" w:hAnsi="Cambria Math"/>
                <w:i/>
                <w:lang w:val="en-US"/>
              </w:rPr>
            </m:ctrlPr>
          </m:fPr>
          <m:num>
            <m:r>
              <w:rPr>
                <w:rFonts w:ascii="Cambria Math" w:hAnsi="Cambria Math"/>
                <w:lang w:val="en-US"/>
              </w:rPr>
              <m:t>1</m:t>
            </m:r>
          </m:num>
          <m:den>
            <m:rad>
              <m:radPr>
                <m:degHide m:val="1"/>
                <m:ctrlPr>
                  <w:rPr>
                    <w:rFonts w:ascii="Cambria Math" w:hAnsi="Cambria Math"/>
                    <w:i/>
                    <w:lang w:val="en-US"/>
                  </w:rPr>
                </m:ctrlPr>
              </m:radPr>
              <m:deg/>
              <m:e>
                <m:sSub>
                  <m:sSubPr>
                    <m:ctrlPr>
                      <w:rPr>
                        <w:rFonts w:ascii="Cambria Math" w:hAnsi="Cambria Math"/>
                        <w:i/>
                        <w:lang w:val="en-US"/>
                      </w:rPr>
                    </m:ctrlPr>
                  </m:sSubPr>
                  <m:e>
                    <m:r>
                      <w:rPr>
                        <w:rFonts w:ascii="Cambria Math" w:hAnsi="Cambria Math"/>
                        <w:lang w:val="en-US"/>
                      </w:rPr>
                      <m:t>C</m:t>
                    </m:r>
                  </m:e>
                  <m:sub>
                    <m:r>
                      <m:rPr>
                        <m:sty m:val="p"/>
                      </m:rPr>
                      <w:rPr>
                        <w:rFonts w:ascii="Cambria Math" w:hAnsi="Cambria Math"/>
                        <w:lang w:val="en-US"/>
                      </w:rPr>
                      <m:t>ref</m:t>
                    </m:r>
                  </m:sub>
                </m:sSub>
              </m:e>
            </m:rad>
          </m:den>
        </m:f>
      </m:oMath>
      <w:r w:rsidRPr="008B705D">
        <w:rPr>
          <w:lang w:val="en-US"/>
        </w:rPr>
        <w:t xml:space="preserve">. </w:t>
      </w:r>
    </w:p>
    <w:p w14:paraId="3B006D99" w14:textId="77777777" w:rsidR="008B705D" w:rsidRPr="008B705D" w:rsidRDefault="008B705D" w:rsidP="00F27829">
      <w:pPr>
        <w:spacing w:after="100"/>
        <w:ind w:left="1286"/>
        <w:jc w:val="both"/>
        <w:rPr>
          <w:lang w:val="en-US"/>
        </w:rPr>
      </w:pPr>
      <w:r w:rsidRPr="008B705D">
        <w:rPr>
          <w:lang w:val="en-US"/>
        </w:rPr>
        <w:t xml:space="preserve">It follows that the greater the reference activity concentration, </w:t>
      </w:r>
      <m:oMath>
        <m:sSub>
          <m:sSubPr>
            <m:ctrlPr>
              <w:rPr>
                <w:rFonts w:ascii="Cambria Math" w:hAnsi="Cambria Math"/>
                <w:i/>
                <w:lang w:val="en-US"/>
              </w:rPr>
            </m:ctrlPr>
          </m:sSubPr>
          <m:e>
            <m:r>
              <w:rPr>
                <w:rFonts w:ascii="Cambria Math" w:hAnsi="Cambria Math"/>
                <w:lang w:val="en-US"/>
              </w:rPr>
              <m:t>C</m:t>
            </m:r>
          </m:e>
          <m:sub>
            <m:r>
              <m:rPr>
                <m:sty m:val="p"/>
              </m:rPr>
              <w:rPr>
                <w:rFonts w:ascii="Cambria Math" w:hAnsi="Cambria Math"/>
                <w:lang w:val="en-US"/>
              </w:rPr>
              <m:t>ref</m:t>
            </m:r>
          </m:sub>
        </m:sSub>
      </m:oMath>
      <w:r w:rsidRPr="008B705D">
        <w:rPr>
          <w:lang w:val="en-US"/>
        </w:rPr>
        <w:t>, the smaller the uncertainty. The influence on the uncertainty by further increase is the smaller, the higher the activity concentration is.</w:t>
      </w:r>
    </w:p>
    <w:p w14:paraId="3D74E0E8" w14:textId="77777777" w:rsidR="008B705D" w:rsidRPr="00F27829" w:rsidRDefault="008B705D" w:rsidP="00F27829">
      <w:pPr>
        <w:pStyle w:val="ListParagraph"/>
        <w:numPr>
          <w:ilvl w:val="0"/>
          <w:numId w:val="43"/>
        </w:numPr>
        <w:spacing w:before="120" w:after="120"/>
        <w:ind w:left="714" w:hanging="357"/>
        <w:contextualSpacing w:val="0"/>
        <w:jc w:val="both"/>
        <w:rPr>
          <w:lang w:val="en-US"/>
        </w:rPr>
      </w:pPr>
      <w:r w:rsidRPr="00F27829">
        <w:rPr>
          <w:lang w:val="en-US"/>
        </w:rPr>
        <w:t>The final uncertainty of the calibration result must be acceptable to the customer. The calibration service and the customer should agree on the uncertainty to be aimed for and the measures to be taken to limit the fluctuations in the instrument's readings before performing the calibration.</w:t>
      </w:r>
    </w:p>
    <w:p w14:paraId="36E47DB6" w14:textId="77777777" w:rsidR="008B705D" w:rsidRPr="00F27829" w:rsidRDefault="008B705D" w:rsidP="00F27829">
      <w:pPr>
        <w:pStyle w:val="ListParagraph"/>
        <w:numPr>
          <w:ilvl w:val="0"/>
          <w:numId w:val="43"/>
        </w:numPr>
        <w:spacing w:before="120" w:after="120"/>
        <w:ind w:left="714" w:hanging="357"/>
        <w:contextualSpacing w:val="0"/>
        <w:jc w:val="both"/>
        <w:rPr>
          <w:lang w:val="en-US"/>
        </w:rPr>
      </w:pPr>
      <w:r w:rsidRPr="00F27829">
        <w:rPr>
          <w:lang w:val="en-US"/>
        </w:rPr>
        <w:t xml:space="preserve">Statistical fluctuations of the measurements contribute to the uncertainty especially at low activity concentrations. Since the extension of the exposure time interval is limited for practical reasons and because of the ever decreasing influence on the uncertainty, calibrations in radon atmospheres with higher activity concentrations should be considered. To confirm the validity of the calibration in such a case even at low radon concentrations, the calibration object must show a linear response over the </w:t>
      </w:r>
      <w:r w:rsidRPr="00F27829">
        <w:rPr>
          <w:lang w:val="en-US"/>
        </w:rPr>
        <w:lastRenderedPageBreak/>
        <w:t>measurement range. The linearity of the measurement range shall be specified by the manufacturer or preferably determined by a type test performed by an approved laboratory.</w:t>
      </w:r>
    </w:p>
    <w:p w14:paraId="76B77ADE" w14:textId="678D536F" w:rsidR="008B705D" w:rsidRPr="008B705D" w:rsidRDefault="006D6619" w:rsidP="00EA647D">
      <w:pPr>
        <w:keepNext/>
        <w:keepLines/>
        <w:spacing w:before="200" w:after="100"/>
        <w:jc w:val="both"/>
        <w:outlineLvl w:val="1"/>
        <w:rPr>
          <w:rFonts w:eastAsiaTheme="majorEastAsia" w:cstheme="majorBidi"/>
          <w:b/>
          <w:bCs/>
          <w:szCs w:val="26"/>
          <w:lang w:val="en-US"/>
        </w:rPr>
      </w:pPr>
      <w:bookmarkStart w:id="101" w:name="_Toc58936338"/>
      <w:r>
        <w:rPr>
          <w:rFonts w:eastAsiaTheme="majorEastAsia" w:cstheme="majorBidi"/>
          <w:b/>
          <w:bCs/>
          <w:szCs w:val="26"/>
          <w:lang w:val="en-US"/>
        </w:rPr>
        <w:t>3.</w:t>
      </w:r>
      <w:r w:rsidR="00C64960">
        <w:rPr>
          <w:rFonts w:eastAsiaTheme="majorEastAsia" w:cstheme="majorBidi"/>
          <w:b/>
          <w:bCs/>
          <w:szCs w:val="26"/>
          <w:lang w:val="en-US"/>
        </w:rPr>
        <w:t>6</w:t>
      </w:r>
      <w:r w:rsidR="008B705D" w:rsidRPr="008B705D">
        <w:rPr>
          <w:rFonts w:eastAsiaTheme="majorEastAsia" w:cstheme="majorBidi"/>
          <w:b/>
          <w:bCs/>
          <w:szCs w:val="26"/>
          <w:lang w:val="en-US"/>
        </w:rPr>
        <w:t xml:space="preserve"> Calibration result and certificate</w:t>
      </w:r>
      <w:bookmarkEnd w:id="101"/>
    </w:p>
    <w:p w14:paraId="082132F2" w14:textId="77777777" w:rsidR="008B705D" w:rsidRPr="00F27829" w:rsidRDefault="008B705D" w:rsidP="00F27829">
      <w:pPr>
        <w:pStyle w:val="ListParagraph"/>
        <w:numPr>
          <w:ilvl w:val="0"/>
          <w:numId w:val="44"/>
        </w:numPr>
        <w:spacing w:after="100"/>
        <w:jc w:val="both"/>
        <w:rPr>
          <w:lang w:val="en-US"/>
        </w:rPr>
      </w:pPr>
      <w:r w:rsidRPr="00F27829">
        <w:rPr>
          <w:lang w:val="en-US"/>
        </w:rPr>
        <w:t>The calibration result consists of</w:t>
      </w:r>
    </w:p>
    <w:p w14:paraId="7CAC2A14" w14:textId="77777777" w:rsidR="008B705D" w:rsidRPr="00F27829" w:rsidRDefault="008B705D" w:rsidP="00F27829">
      <w:pPr>
        <w:pStyle w:val="ListParagraph"/>
        <w:numPr>
          <w:ilvl w:val="0"/>
          <w:numId w:val="46"/>
        </w:numPr>
        <w:spacing w:after="100"/>
        <w:jc w:val="both"/>
        <w:rPr>
          <w:lang w:val="en-US"/>
        </w:rPr>
      </w:pPr>
      <w:r w:rsidRPr="00F27829">
        <w:rPr>
          <w:lang w:val="en-US"/>
        </w:rPr>
        <w:t>the calibration factor or function describing the relationship between the instrument display and a reference activity concentration of radon established in the radon chamber during the exposure period of the calibration object, and</w:t>
      </w:r>
    </w:p>
    <w:p w14:paraId="73D73BFF" w14:textId="27F638A3" w:rsidR="008B705D" w:rsidRPr="00F27829" w:rsidRDefault="008B705D" w:rsidP="005510FC">
      <w:pPr>
        <w:pStyle w:val="ListParagraph"/>
        <w:numPr>
          <w:ilvl w:val="0"/>
          <w:numId w:val="46"/>
        </w:numPr>
        <w:spacing w:before="120" w:after="120"/>
        <w:ind w:left="1077" w:hanging="357"/>
        <w:contextualSpacing w:val="0"/>
        <w:jc w:val="both"/>
        <w:rPr>
          <w:lang w:val="en-US"/>
        </w:rPr>
      </w:pPr>
      <w:r w:rsidRPr="00F27829">
        <w:rPr>
          <w:lang w:val="en-US"/>
        </w:rPr>
        <w:t>the attributed measurement uncertainty.</w:t>
      </w:r>
    </w:p>
    <w:p w14:paraId="73A619E3" w14:textId="77777777" w:rsidR="008B705D" w:rsidRPr="00F27829" w:rsidRDefault="008B705D" w:rsidP="005510FC">
      <w:pPr>
        <w:pStyle w:val="ListParagraph"/>
        <w:numPr>
          <w:ilvl w:val="0"/>
          <w:numId w:val="45"/>
        </w:numPr>
        <w:spacing w:before="120" w:after="120"/>
        <w:ind w:left="714" w:hanging="357"/>
        <w:contextualSpacing w:val="0"/>
        <w:jc w:val="both"/>
        <w:rPr>
          <w:lang w:val="en-US"/>
        </w:rPr>
      </w:pPr>
      <w:r w:rsidRPr="00F27829">
        <w:rPr>
          <w:lang w:val="en-US"/>
        </w:rPr>
        <w:t>Unless otherwise agreed between the calibration service and the customer, the calibration result for the reference conditions shall be given according to Table 1.</w:t>
      </w:r>
    </w:p>
    <w:p w14:paraId="0A69AA2E" w14:textId="77777777" w:rsidR="008B705D" w:rsidRPr="00F27829" w:rsidRDefault="008B705D" w:rsidP="00F27829">
      <w:pPr>
        <w:pStyle w:val="ListParagraph"/>
        <w:numPr>
          <w:ilvl w:val="0"/>
          <w:numId w:val="45"/>
        </w:numPr>
        <w:spacing w:after="100"/>
        <w:jc w:val="both"/>
        <w:rPr>
          <w:lang w:val="en-US"/>
        </w:rPr>
      </w:pPr>
      <w:r w:rsidRPr="00F27829">
        <w:rPr>
          <w:lang w:val="en-US"/>
        </w:rPr>
        <w:t xml:space="preserve">The calibration result is performed in a calibration certificate. The calibration certificate must meet the requirements of </w:t>
      </w:r>
      <w:r w:rsidRPr="00582E85">
        <w:rPr>
          <w:lang w:val="en-US"/>
        </w:rPr>
        <w:t>ISO/IEC 17025</w:t>
      </w:r>
      <w:r w:rsidRPr="00F27829">
        <w:rPr>
          <w:lang w:val="en-US"/>
        </w:rPr>
        <w:t>.</w:t>
      </w:r>
    </w:p>
    <w:p w14:paraId="533A39BF" w14:textId="77777777" w:rsidR="00C26CA8" w:rsidRDefault="00C26CA8" w:rsidP="00EA647D">
      <w:pPr>
        <w:rPr>
          <w:color w:val="FF0000"/>
          <w:lang w:val="en-US"/>
        </w:rPr>
      </w:pPr>
    </w:p>
    <w:p w14:paraId="4655E3AB" w14:textId="6B8B708C" w:rsidR="002B5E27" w:rsidRDefault="005510FC" w:rsidP="00EA647D">
      <w:pPr>
        <w:pStyle w:val="Heading1"/>
        <w:spacing w:before="480" w:after="120" w:line="360" w:lineRule="auto"/>
        <w:rPr>
          <w:lang w:val="en-US"/>
        </w:rPr>
      </w:pPr>
      <w:bookmarkStart w:id="102" w:name="_Toc58936339"/>
      <w:r>
        <w:rPr>
          <w:lang w:val="en-US"/>
        </w:rPr>
        <w:t>4</w:t>
      </w:r>
      <w:r w:rsidR="00C26CA8">
        <w:rPr>
          <w:lang w:val="en-US"/>
        </w:rPr>
        <w:t>.</w:t>
      </w:r>
      <w:r w:rsidR="00C26CA8" w:rsidRPr="00582E85">
        <w:rPr>
          <w:lang w:val="en-GB"/>
        </w:rPr>
        <w:t xml:space="preserve"> </w:t>
      </w:r>
      <w:r w:rsidR="00C26CA8" w:rsidRPr="00C26CA8">
        <w:rPr>
          <w:lang w:val="en-US"/>
        </w:rPr>
        <w:t>Influence of thoron on radon monitors</w:t>
      </w:r>
      <w:bookmarkEnd w:id="102"/>
      <w:r w:rsidR="00C26CA8" w:rsidRPr="00C26CA8">
        <w:rPr>
          <w:lang w:val="en-US"/>
        </w:rPr>
        <w:t xml:space="preserve"> </w:t>
      </w:r>
      <w:bookmarkStart w:id="103" w:name="_Toc54953107"/>
      <w:bookmarkStart w:id="104" w:name="_Toc54953450"/>
      <w:bookmarkStart w:id="105" w:name="_Toc54953565"/>
      <w:bookmarkStart w:id="106" w:name="_Toc54953658"/>
      <w:bookmarkStart w:id="107" w:name="_Toc54953861"/>
      <w:bookmarkStart w:id="108" w:name="_Toc54955295"/>
      <w:bookmarkStart w:id="109" w:name="_Toc54955384"/>
      <w:bookmarkStart w:id="110" w:name="_Toc54955472"/>
      <w:bookmarkStart w:id="111" w:name="_Toc54955650"/>
      <w:bookmarkStart w:id="112" w:name="_Toc54955740"/>
      <w:bookmarkStart w:id="113" w:name="_Toc54955827"/>
      <w:bookmarkStart w:id="114" w:name="_Toc54955914"/>
      <w:bookmarkEnd w:id="103"/>
      <w:bookmarkEnd w:id="104"/>
      <w:bookmarkEnd w:id="105"/>
      <w:bookmarkEnd w:id="106"/>
      <w:bookmarkEnd w:id="107"/>
      <w:bookmarkEnd w:id="108"/>
      <w:bookmarkEnd w:id="109"/>
      <w:bookmarkEnd w:id="110"/>
      <w:bookmarkEnd w:id="111"/>
      <w:bookmarkEnd w:id="112"/>
      <w:bookmarkEnd w:id="113"/>
      <w:bookmarkEnd w:id="114"/>
    </w:p>
    <w:p w14:paraId="0CFED40F" w14:textId="77777777" w:rsidR="002B5E27" w:rsidRPr="00EA647D" w:rsidRDefault="002B5E27" w:rsidP="00EA647D">
      <w:pPr>
        <w:jc w:val="both"/>
        <w:rPr>
          <w:lang w:val="en-US"/>
        </w:rPr>
      </w:pPr>
      <w:r w:rsidRPr="00EA647D">
        <w:rPr>
          <w:lang w:val="en-US"/>
        </w:rPr>
        <w:t>The influence of thoron (</w:t>
      </w:r>
      <w:r w:rsidRPr="00EA647D">
        <w:rPr>
          <w:rFonts w:cs="Calibri"/>
          <w:szCs w:val="22"/>
          <w:vertAlign w:val="superscript"/>
          <w:lang w:val="en-GB"/>
        </w:rPr>
        <w:t>220</w:t>
      </w:r>
      <w:r w:rsidRPr="00EA647D">
        <w:rPr>
          <w:rFonts w:cs="Calibri"/>
          <w:szCs w:val="22"/>
          <w:lang w:val="en-GB"/>
        </w:rPr>
        <w:t>Rn)</w:t>
      </w:r>
      <w:r w:rsidRPr="00EA647D">
        <w:rPr>
          <w:lang w:val="en-US"/>
        </w:rPr>
        <w:t xml:space="preserve"> on the radon activity concentration measurements has been observed in some  radon monitors and detectors. This influence, if not properly corrected, can introduce bias in the radon risk estimates or can generate false alarms if the detectors are used to identify dwellings with radon concentrations that exceed reference/action levels. Both thoron and its progeny (</w:t>
      </w:r>
      <w:r w:rsidRPr="00EA647D">
        <w:rPr>
          <w:vertAlign w:val="superscript"/>
          <w:lang w:val="en-US"/>
        </w:rPr>
        <w:t>216</w:t>
      </w:r>
      <w:r w:rsidRPr="00EA647D">
        <w:rPr>
          <w:lang w:val="en-US"/>
        </w:rPr>
        <w:t xml:space="preserve">Po, </w:t>
      </w:r>
      <w:r w:rsidRPr="00EA647D">
        <w:rPr>
          <w:vertAlign w:val="superscript"/>
          <w:lang w:val="en-US"/>
        </w:rPr>
        <w:t>212</w:t>
      </w:r>
      <w:r w:rsidRPr="00EA647D">
        <w:rPr>
          <w:lang w:val="en-US"/>
        </w:rPr>
        <w:t xml:space="preserve">Pb, </w:t>
      </w:r>
      <w:r w:rsidRPr="00EA647D">
        <w:rPr>
          <w:vertAlign w:val="superscript"/>
          <w:lang w:val="en-US"/>
        </w:rPr>
        <w:t>212</w:t>
      </w:r>
      <w:r w:rsidRPr="00EA647D">
        <w:rPr>
          <w:lang w:val="en-US"/>
        </w:rPr>
        <w:t>Bi+</w:t>
      </w:r>
      <w:r w:rsidRPr="00EA647D">
        <w:rPr>
          <w:vertAlign w:val="superscript"/>
          <w:lang w:val="en-US"/>
        </w:rPr>
        <w:t>212</w:t>
      </w:r>
      <w:r w:rsidRPr="00EA647D">
        <w:rPr>
          <w:lang w:val="en-US"/>
        </w:rPr>
        <w:t>Po/</w:t>
      </w:r>
      <w:r w:rsidRPr="00EA647D">
        <w:rPr>
          <w:vertAlign w:val="superscript"/>
          <w:lang w:val="en-US"/>
        </w:rPr>
        <w:t>208</w:t>
      </w:r>
      <w:r w:rsidRPr="00EA647D">
        <w:rPr>
          <w:lang w:val="en-US"/>
        </w:rPr>
        <w:t>Tl) need to be taken into account in testing for thoron interference of radon monitors/detectors and analysis of the results. The following  basic guidelines can be recommended to follow for assessment and reduction of thoron interference on radon monitors and detectors:</w:t>
      </w:r>
    </w:p>
    <w:p w14:paraId="62EE5E97" w14:textId="0069CB76" w:rsidR="002B5E27" w:rsidRDefault="002B5E27" w:rsidP="006D6619">
      <w:pPr>
        <w:numPr>
          <w:ilvl w:val="0"/>
          <w:numId w:val="47"/>
        </w:numPr>
        <w:autoSpaceDE w:val="0"/>
        <w:autoSpaceDN w:val="0"/>
        <w:adjustRightInd w:val="0"/>
        <w:spacing w:before="120" w:after="120" w:line="240" w:lineRule="auto"/>
        <w:ind w:left="714" w:hanging="357"/>
        <w:jc w:val="both"/>
        <w:rPr>
          <w:rFonts w:cs="Calibri"/>
          <w:szCs w:val="22"/>
          <w:lang w:val="en-GB"/>
        </w:rPr>
      </w:pPr>
      <w:r w:rsidRPr="00EA647D">
        <w:rPr>
          <w:rFonts w:cs="Calibri"/>
          <w:szCs w:val="22"/>
          <w:lang w:val="en-GB"/>
        </w:rPr>
        <w:t>The testing of radon monitors for thoron sensitivity should include reference (secondary) thoron</w:t>
      </w:r>
      <w:r w:rsidR="005052E9" w:rsidRPr="005052E9">
        <w:rPr>
          <w:rFonts w:cs="Calibri"/>
          <w:szCs w:val="22"/>
          <w:lang w:val="en-GB"/>
        </w:rPr>
        <w:t xml:space="preserve"> </w:t>
      </w:r>
      <w:r w:rsidRPr="00EA647D">
        <w:rPr>
          <w:rFonts w:cs="Calibri"/>
          <w:szCs w:val="22"/>
          <w:lang w:val="en-GB"/>
        </w:rPr>
        <w:t>monitor that is calibrated with, or traceable to a primary thoron measuring system. We recommend a</w:t>
      </w:r>
      <w:r w:rsidR="005052E9" w:rsidRPr="005052E9">
        <w:rPr>
          <w:rFonts w:cs="Calibri"/>
          <w:szCs w:val="22"/>
          <w:lang w:val="en-GB"/>
        </w:rPr>
        <w:t xml:space="preserve"> </w:t>
      </w:r>
      <w:r w:rsidRPr="00EA647D">
        <w:rPr>
          <w:rFonts w:cs="Calibri"/>
          <w:szCs w:val="22"/>
          <w:lang w:val="en-GB"/>
        </w:rPr>
        <w:t>stable reference thoron atmosphere to be created in an exposure chamber by flushing air with constant</w:t>
      </w:r>
      <w:r w:rsidR="005052E9" w:rsidRPr="005052E9">
        <w:rPr>
          <w:rFonts w:cs="Calibri"/>
          <w:szCs w:val="22"/>
          <w:lang w:val="en-GB"/>
        </w:rPr>
        <w:t xml:space="preserve"> </w:t>
      </w:r>
      <w:r w:rsidRPr="00EA647D">
        <w:rPr>
          <w:rFonts w:cs="Calibri"/>
          <w:szCs w:val="22"/>
          <w:lang w:val="en-GB"/>
        </w:rPr>
        <w:t>flow-rate consecutively through the thoron source and the exposure chamber. To ensure thoron</w:t>
      </w:r>
      <w:r w:rsidR="005052E9">
        <w:rPr>
          <w:rFonts w:cs="Calibri"/>
          <w:szCs w:val="22"/>
          <w:lang w:val="en-GB"/>
        </w:rPr>
        <w:t xml:space="preserve"> </w:t>
      </w:r>
      <w:r w:rsidRPr="00EA647D">
        <w:rPr>
          <w:rFonts w:cs="Calibri"/>
          <w:szCs w:val="22"/>
          <w:lang w:val="en-GB"/>
        </w:rPr>
        <w:t xml:space="preserve">homogeneity fan(s) should operate in the exposure chamber during exposure. We recommend the reference instrument to be placed inside the exposure chamber throughout the exposure. </w:t>
      </w:r>
    </w:p>
    <w:p w14:paraId="4879C8CC" w14:textId="77777777" w:rsidR="005052E9" w:rsidRPr="00261F16" w:rsidRDefault="005052E9" w:rsidP="006D6619">
      <w:pPr>
        <w:numPr>
          <w:ilvl w:val="0"/>
          <w:numId w:val="47"/>
        </w:numPr>
        <w:autoSpaceDE w:val="0"/>
        <w:autoSpaceDN w:val="0"/>
        <w:adjustRightInd w:val="0"/>
        <w:spacing w:before="120" w:after="120" w:line="240" w:lineRule="auto"/>
        <w:ind w:left="714" w:hanging="357"/>
        <w:jc w:val="both"/>
        <w:rPr>
          <w:rFonts w:cs="Calibri"/>
          <w:szCs w:val="22"/>
          <w:lang w:val="en-GB"/>
        </w:rPr>
      </w:pPr>
      <w:r w:rsidRPr="00261F16">
        <w:rPr>
          <w:rFonts w:cs="Calibri"/>
          <w:szCs w:val="22"/>
          <w:lang w:val="en-GB"/>
        </w:rPr>
        <w:t>Thoron homogeneity in the chamber should be checked during exposure or in another experiment under the same exposure conditions. The air pressure, temperature, humidity and air velocities (if applicable) during the tests should be recorded;</w:t>
      </w:r>
    </w:p>
    <w:p w14:paraId="05F99B3C" w14:textId="13104A79" w:rsidR="002B5E27" w:rsidRDefault="002B5E27" w:rsidP="006D6619">
      <w:pPr>
        <w:numPr>
          <w:ilvl w:val="0"/>
          <w:numId w:val="47"/>
        </w:numPr>
        <w:autoSpaceDE w:val="0"/>
        <w:autoSpaceDN w:val="0"/>
        <w:adjustRightInd w:val="0"/>
        <w:spacing w:before="120" w:after="120" w:line="240" w:lineRule="auto"/>
        <w:ind w:left="714" w:hanging="357"/>
        <w:jc w:val="both"/>
        <w:rPr>
          <w:rFonts w:cs="Calibri"/>
          <w:szCs w:val="22"/>
          <w:lang w:val="en-GB"/>
        </w:rPr>
      </w:pPr>
      <w:r w:rsidRPr="00EA647D">
        <w:rPr>
          <w:rFonts w:cs="Calibri"/>
          <w:szCs w:val="22"/>
          <w:lang w:val="en-GB"/>
        </w:rPr>
        <w:t>The manufacturers of radon monitors/detectors should perform testing for thoron cross-interference of their radon instruments and should include this information in the specifications of the instrument.</w:t>
      </w:r>
    </w:p>
    <w:p w14:paraId="53C51028" w14:textId="52FD2802" w:rsidR="002B5E27" w:rsidRPr="00EA647D" w:rsidRDefault="002B5E27" w:rsidP="006D6619">
      <w:pPr>
        <w:numPr>
          <w:ilvl w:val="0"/>
          <w:numId w:val="47"/>
        </w:numPr>
        <w:autoSpaceDE w:val="0"/>
        <w:autoSpaceDN w:val="0"/>
        <w:adjustRightInd w:val="0"/>
        <w:spacing w:before="120" w:after="120" w:line="240" w:lineRule="auto"/>
        <w:ind w:left="714" w:hanging="357"/>
        <w:jc w:val="both"/>
        <w:rPr>
          <w:rFonts w:cs="Calibri"/>
          <w:szCs w:val="22"/>
          <w:lang w:val="en-GB"/>
        </w:rPr>
      </w:pPr>
      <w:r w:rsidRPr="00EA647D">
        <w:rPr>
          <w:rFonts w:cs="Calibri"/>
          <w:szCs w:val="22"/>
          <w:lang w:val="en-GB"/>
        </w:rPr>
        <w:t xml:space="preserve">The cross-interference tests should </w:t>
      </w:r>
      <w:r w:rsidR="00097ACC">
        <w:rPr>
          <w:rFonts w:cs="Calibri"/>
          <w:szCs w:val="22"/>
          <w:lang w:val="en-GB"/>
        </w:rPr>
        <w:t xml:space="preserve">be planned taking into account </w:t>
      </w:r>
      <w:bookmarkStart w:id="115" w:name="_GoBack"/>
      <w:bookmarkEnd w:id="115"/>
      <w:r w:rsidRPr="00EA647D">
        <w:rPr>
          <w:rFonts w:cs="Calibri"/>
          <w:szCs w:val="22"/>
          <w:lang w:val="en-GB"/>
        </w:rPr>
        <w:t>the possible contribution from thoron progeny (</w:t>
      </w:r>
      <w:r w:rsidRPr="006D6619">
        <w:rPr>
          <w:rFonts w:cs="Calibri"/>
          <w:szCs w:val="22"/>
          <w:vertAlign w:val="superscript"/>
          <w:lang w:val="en-GB"/>
        </w:rPr>
        <w:t>216</w:t>
      </w:r>
      <w:r w:rsidRPr="00EA647D">
        <w:rPr>
          <w:rFonts w:cs="Calibri"/>
          <w:szCs w:val="22"/>
          <w:lang w:val="en-GB"/>
        </w:rPr>
        <w:t xml:space="preserve">Po, </w:t>
      </w:r>
      <w:r w:rsidRPr="006D6619">
        <w:rPr>
          <w:rFonts w:cs="Calibri"/>
          <w:szCs w:val="22"/>
          <w:vertAlign w:val="superscript"/>
          <w:lang w:val="en-GB"/>
        </w:rPr>
        <w:t>212</w:t>
      </w:r>
      <w:r w:rsidRPr="00EA647D">
        <w:rPr>
          <w:rFonts w:cs="Calibri"/>
          <w:szCs w:val="22"/>
          <w:lang w:val="en-GB"/>
        </w:rPr>
        <w:t xml:space="preserve">Pb, </w:t>
      </w:r>
      <w:r w:rsidRPr="006D6619">
        <w:rPr>
          <w:rFonts w:cs="Calibri"/>
          <w:szCs w:val="22"/>
          <w:vertAlign w:val="superscript"/>
          <w:lang w:val="en-GB"/>
        </w:rPr>
        <w:t>212</w:t>
      </w:r>
      <w:r w:rsidRPr="00EA647D">
        <w:rPr>
          <w:rFonts w:cs="Calibri"/>
          <w:szCs w:val="22"/>
          <w:lang w:val="en-GB"/>
        </w:rPr>
        <w:t>Bi+</w:t>
      </w:r>
      <w:r w:rsidRPr="006D6619">
        <w:rPr>
          <w:rFonts w:cs="Calibri"/>
          <w:szCs w:val="22"/>
          <w:vertAlign w:val="superscript"/>
          <w:lang w:val="en-GB"/>
        </w:rPr>
        <w:t>212</w:t>
      </w:r>
      <w:r w:rsidRPr="00EA647D">
        <w:rPr>
          <w:rFonts w:cs="Calibri"/>
          <w:szCs w:val="22"/>
          <w:lang w:val="en-GB"/>
        </w:rPr>
        <w:t>Po/</w:t>
      </w:r>
      <w:r w:rsidRPr="006D6619">
        <w:rPr>
          <w:rFonts w:cs="Calibri"/>
          <w:szCs w:val="22"/>
          <w:vertAlign w:val="superscript"/>
          <w:lang w:val="en-GB"/>
        </w:rPr>
        <w:t>208</w:t>
      </w:r>
      <w:r w:rsidRPr="00EA647D">
        <w:rPr>
          <w:rFonts w:cs="Calibri"/>
          <w:szCs w:val="22"/>
          <w:lang w:val="en-GB"/>
        </w:rPr>
        <w:t>Tl). After the end of thoron exposure the integrated passive detectors should be  left for at least three days at low thoron/radon levels before analysis. This is needed to leave thoron progeny deposited in their  volume to decay.</w:t>
      </w:r>
    </w:p>
    <w:p w14:paraId="1E2157F5" w14:textId="4E679ACE" w:rsidR="002B5E27" w:rsidRPr="00EA647D" w:rsidRDefault="002B5E27" w:rsidP="006D6619">
      <w:pPr>
        <w:numPr>
          <w:ilvl w:val="0"/>
          <w:numId w:val="47"/>
        </w:numPr>
        <w:autoSpaceDE w:val="0"/>
        <w:autoSpaceDN w:val="0"/>
        <w:adjustRightInd w:val="0"/>
        <w:spacing w:before="120" w:after="120" w:line="240" w:lineRule="auto"/>
        <w:ind w:left="714" w:hanging="357"/>
        <w:jc w:val="both"/>
        <w:rPr>
          <w:rFonts w:cs="Calibri"/>
          <w:szCs w:val="22"/>
          <w:lang w:val="en-GB"/>
        </w:rPr>
      </w:pPr>
      <w:r w:rsidRPr="00EA647D">
        <w:rPr>
          <w:rFonts w:cs="Calibri"/>
          <w:szCs w:val="22"/>
          <w:lang w:val="en-GB"/>
        </w:rPr>
        <w:t>A minimum of three days test with a high thoron activity concentration (around 10 kBq</w:t>
      </w:r>
      <w:r w:rsidR="00894CF9">
        <w:rPr>
          <w:rFonts w:cs="Calibri"/>
          <w:szCs w:val="22"/>
          <w:lang w:val="en-GB"/>
        </w:rPr>
        <w:t>/</w:t>
      </w:r>
      <w:r w:rsidRPr="00EA647D">
        <w:rPr>
          <w:rFonts w:cs="Calibri"/>
          <w:szCs w:val="22"/>
          <w:lang w:val="en-GB"/>
        </w:rPr>
        <w:t>m</w:t>
      </w:r>
      <w:r w:rsidRPr="006D6619">
        <w:rPr>
          <w:rFonts w:cs="Calibri"/>
          <w:szCs w:val="22"/>
          <w:vertAlign w:val="superscript"/>
          <w:lang w:val="en-GB"/>
        </w:rPr>
        <w:t>3</w:t>
      </w:r>
      <w:r w:rsidRPr="00EA647D">
        <w:rPr>
          <w:rFonts w:cs="Calibri"/>
          <w:szCs w:val="22"/>
          <w:lang w:val="en-GB"/>
        </w:rPr>
        <w:t xml:space="preserve"> or more) is</w:t>
      </w:r>
      <w:r w:rsidR="005052E9" w:rsidRPr="005052E9">
        <w:rPr>
          <w:rFonts w:cs="Calibri"/>
          <w:szCs w:val="22"/>
          <w:lang w:val="en-GB"/>
        </w:rPr>
        <w:t xml:space="preserve"> </w:t>
      </w:r>
      <w:r w:rsidRPr="00EA647D">
        <w:rPr>
          <w:rFonts w:cs="Calibri"/>
          <w:szCs w:val="22"/>
          <w:lang w:val="en-GB"/>
        </w:rPr>
        <w:t>recommended to determine an accurate final CI of the active monitors, instead of the 4 hours at 1000</w:t>
      </w:r>
      <w:r w:rsidR="005052E9">
        <w:rPr>
          <w:rFonts w:cs="Calibri"/>
          <w:szCs w:val="22"/>
          <w:lang w:val="en-GB"/>
        </w:rPr>
        <w:t xml:space="preserve"> </w:t>
      </w:r>
      <w:r w:rsidRPr="00EA647D">
        <w:rPr>
          <w:rFonts w:cs="Calibri"/>
          <w:szCs w:val="22"/>
          <w:lang w:val="en-GB"/>
        </w:rPr>
        <w:t>Bq</w:t>
      </w:r>
      <w:r w:rsidR="00894CF9">
        <w:rPr>
          <w:rFonts w:cs="Calibri"/>
          <w:szCs w:val="22"/>
          <w:lang w:val="en-GB"/>
        </w:rPr>
        <w:t>/</w:t>
      </w:r>
      <w:r w:rsidRPr="00EA647D">
        <w:rPr>
          <w:rFonts w:cs="Calibri"/>
          <w:szCs w:val="22"/>
          <w:lang w:val="en-GB"/>
        </w:rPr>
        <w:t>m</w:t>
      </w:r>
      <w:r w:rsidRPr="006D6619">
        <w:rPr>
          <w:rFonts w:cs="Calibri"/>
          <w:szCs w:val="22"/>
          <w:vertAlign w:val="superscript"/>
          <w:lang w:val="en-GB"/>
        </w:rPr>
        <w:t>3</w:t>
      </w:r>
      <w:r w:rsidRPr="00EA647D">
        <w:rPr>
          <w:rFonts w:cs="Calibri"/>
          <w:szCs w:val="22"/>
          <w:lang w:val="en-GB"/>
        </w:rPr>
        <w:t xml:space="preserve"> required in </w:t>
      </w:r>
      <w:r w:rsidRPr="00FE32CC">
        <w:rPr>
          <w:rFonts w:cs="Calibri"/>
          <w:szCs w:val="22"/>
          <w:lang w:val="en-GB"/>
        </w:rPr>
        <w:t xml:space="preserve">the </w:t>
      </w:r>
      <w:r w:rsidRPr="00582E85">
        <w:rPr>
          <w:rFonts w:cs="Calibri"/>
          <w:szCs w:val="22"/>
          <w:lang w:val="en-GB"/>
        </w:rPr>
        <w:t xml:space="preserve">IEC 61577-2 </w:t>
      </w:r>
      <w:r w:rsidRPr="00FE32CC">
        <w:rPr>
          <w:rFonts w:cs="Calibri"/>
          <w:szCs w:val="22"/>
          <w:lang w:val="en-GB"/>
        </w:rPr>
        <w:t>standard</w:t>
      </w:r>
      <w:r w:rsidRPr="00EA647D">
        <w:rPr>
          <w:rFonts w:cs="Calibri"/>
          <w:szCs w:val="22"/>
          <w:lang w:val="en-GB"/>
        </w:rPr>
        <w:t>.</w:t>
      </w:r>
    </w:p>
    <w:p w14:paraId="1696B648" w14:textId="161A6F41" w:rsidR="002B5E27" w:rsidRPr="00EA647D" w:rsidRDefault="002B5E27" w:rsidP="006D6619">
      <w:pPr>
        <w:numPr>
          <w:ilvl w:val="0"/>
          <w:numId w:val="47"/>
        </w:numPr>
        <w:autoSpaceDE w:val="0"/>
        <w:autoSpaceDN w:val="0"/>
        <w:adjustRightInd w:val="0"/>
        <w:spacing w:before="120" w:after="120" w:line="240" w:lineRule="auto"/>
        <w:ind w:left="714" w:hanging="357"/>
        <w:jc w:val="both"/>
        <w:rPr>
          <w:rFonts w:cs="Calibri"/>
          <w:szCs w:val="22"/>
          <w:lang w:val="en-GB"/>
        </w:rPr>
      </w:pPr>
      <w:r w:rsidRPr="00EA647D">
        <w:rPr>
          <w:rFonts w:cs="Calibri"/>
          <w:szCs w:val="22"/>
          <w:lang w:val="en-GB"/>
        </w:rPr>
        <w:t>For instruments for which fast reaction to rapidly changing concentrations is required a spectrometric</w:t>
      </w:r>
      <w:r w:rsidR="005052E9" w:rsidRPr="005052E9">
        <w:rPr>
          <w:rFonts w:cs="Calibri"/>
          <w:szCs w:val="22"/>
          <w:lang w:val="en-GB"/>
        </w:rPr>
        <w:t xml:space="preserve"> </w:t>
      </w:r>
      <w:r w:rsidRPr="00EA647D">
        <w:rPr>
          <w:rFonts w:cs="Calibri"/>
          <w:szCs w:val="22"/>
          <w:lang w:val="en-GB"/>
        </w:rPr>
        <w:t>discrimination between radon and thoron is probably the best option. For active monitors with active</w:t>
      </w:r>
      <w:r w:rsidR="005052E9" w:rsidRPr="005052E9">
        <w:rPr>
          <w:rFonts w:cs="Calibri"/>
          <w:szCs w:val="22"/>
          <w:lang w:val="en-GB"/>
        </w:rPr>
        <w:t xml:space="preserve"> </w:t>
      </w:r>
      <w:r w:rsidRPr="00EA647D">
        <w:rPr>
          <w:rFonts w:cs="Calibri"/>
          <w:szCs w:val="22"/>
          <w:lang w:val="en-GB"/>
        </w:rPr>
        <w:lastRenderedPageBreak/>
        <w:t>sampling, counting in two different time intervals can also be used. With a proper data processing such</w:t>
      </w:r>
      <w:r w:rsidR="005052E9" w:rsidRPr="005052E9">
        <w:rPr>
          <w:rFonts w:cs="Calibri"/>
          <w:szCs w:val="22"/>
          <w:lang w:val="en-GB"/>
        </w:rPr>
        <w:t xml:space="preserve"> </w:t>
      </w:r>
      <w:r w:rsidRPr="00EA647D">
        <w:rPr>
          <w:rFonts w:cs="Calibri"/>
          <w:szCs w:val="22"/>
          <w:lang w:val="en-GB"/>
        </w:rPr>
        <w:t>instruments can measure radon and thoron separately still keeping capacity for fast reaction to rapidly</w:t>
      </w:r>
      <w:r w:rsidR="005052E9">
        <w:rPr>
          <w:rFonts w:cs="Calibri"/>
          <w:szCs w:val="22"/>
          <w:lang w:val="en-GB"/>
        </w:rPr>
        <w:t xml:space="preserve"> </w:t>
      </w:r>
      <w:r w:rsidRPr="00EA647D">
        <w:rPr>
          <w:rFonts w:cs="Calibri"/>
          <w:szCs w:val="22"/>
          <w:lang w:val="en-GB"/>
        </w:rPr>
        <w:t>changing concentrations.</w:t>
      </w:r>
    </w:p>
    <w:p w14:paraId="1ABE142A" w14:textId="1EBEB24F" w:rsidR="002B5E27" w:rsidRPr="00EA647D" w:rsidRDefault="002B5E27" w:rsidP="006D6619">
      <w:pPr>
        <w:numPr>
          <w:ilvl w:val="0"/>
          <w:numId w:val="47"/>
        </w:numPr>
        <w:autoSpaceDE w:val="0"/>
        <w:autoSpaceDN w:val="0"/>
        <w:adjustRightInd w:val="0"/>
        <w:spacing w:before="120" w:after="120" w:line="240" w:lineRule="auto"/>
        <w:ind w:left="714" w:hanging="357"/>
        <w:jc w:val="both"/>
        <w:rPr>
          <w:rFonts w:cs="Calibri"/>
          <w:szCs w:val="22"/>
          <w:lang w:val="en-GB"/>
        </w:rPr>
      </w:pPr>
      <w:r w:rsidRPr="00EA647D">
        <w:rPr>
          <w:rFonts w:cs="Calibri"/>
          <w:szCs w:val="22"/>
          <w:lang w:val="en-GB"/>
        </w:rPr>
        <w:t>If spectral discrimination is not used but the instruments are expected to have a fast reaction, a proper</w:t>
      </w:r>
      <w:r w:rsidR="005052E9" w:rsidRPr="005052E9">
        <w:rPr>
          <w:rFonts w:cs="Calibri"/>
          <w:szCs w:val="22"/>
          <w:lang w:val="en-GB"/>
        </w:rPr>
        <w:t xml:space="preserve"> </w:t>
      </w:r>
      <w:r w:rsidRPr="00EA647D">
        <w:rPr>
          <w:rFonts w:cs="Calibri"/>
          <w:szCs w:val="22"/>
          <w:lang w:val="en-GB"/>
        </w:rPr>
        <w:t>approach is to incorporate a delay line either within the instrument design or as supplementary</w:t>
      </w:r>
      <w:r w:rsidR="005052E9" w:rsidRPr="005052E9">
        <w:rPr>
          <w:rFonts w:cs="Calibri"/>
          <w:szCs w:val="22"/>
          <w:lang w:val="en-GB"/>
        </w:rPr>
        <w:t xml:space="preserve"> </w:t>
      </w:r>
      <w:r w:rsidRPr="00EA647D">
        <w:rPr>
          <w:rFonts w:cs="Calibri"/>
          <w:szCs w:val="22"/>
          <w:lang w:val="en-GB"/>
        </w:rPr>
        <w:t>module. The parameters of such delay line (buffer volume and flow-rate) should correspond to the</w:t>
      </w:r>
      <w:r w:rsidR="005052E9">
        <w:rPr>
          <w:rFonts w:cs="Calibri"/>
          <w:szCs w:val="22"/>
          <w:lang w:val="en-GB"/>
        </w:rPr>
        <w:t xml:space="preserve"> </w:t>
      </w:r>
      <w:r w:rsidRPr="00EA647D">
        <w:rPr>
          <w:rFonts w:cs="Calibri"/>
          <w:szCs w:val="22"/>
          <w:lang w:val="en-GB"/>
        </w:rPr>
        <w:t>instrument’s technical characteristics.</w:t>
      </w:r>
    </w:p>
    <w:p w14:paraId="2C8E10F4" w14:textId="2B20B227" w:rsidR="002B5E27" w:rsidRPr="00EA647D" w:rsidRDefault="002B5E27" w:rsidP="006D6619">
      <w:pPr>
        <w:numPr>
          <w:ilvl w:val="0"/>
          <w:numId w:val="47"/>
        </w:numPr>
        <w:autoSpaceDE w:val="0"/>
        <w:autoSpaceDN w:val="0"/>
        <w:adjustRightInd w:val="0"/>
        <w:spacing w:before="120" w:after="120" w:line="240" w:lineRule="auto"/>
        <w:ind w:left="714" w:hanging="357"/>
        <w:jc w:val="both"/>
        <w:rPr>
          <w:rFonts w:cs="Calibri"/>
          <w:szCs w:val="22"/>
          <w:lang w:val="en-GB"/>
        </w:rPr>
      </w:pPr>
      <w:r w:rsidRPr="00EA647D">
        <w:rPr>
          <w:rFonts w:cs="Calibri"/>
          <w:szCs w:val="22"/>
          <w:lang w:val="en-GB"/>
        </w:rPr>
        <w:t>For continuous radon monitors which do not perform spectral discrimination, but record the</w:t>
      </w:r>
      <w:r w:rsidR="005052E9" w:rsidRPr="005052E9">
        <w:rPr>
          <w:rFonts w:cs="Calibri"/>
          <w:szCs w:val="22"/>
          <w:lang w:val="en-GB"/>
        </w:rPr>
        <w:t xml:space="preserve"> </w:t>
      </w:r>
      <w:r w:rsidRPr="00EA647D">
        <w:rPr>
          <w:rFonts w:cs="Calibri"/>
          <w:szCs w:val="22"/>
          <w:lang w:val="en-GB"/>
        </w:rPr>
        <w:t>temperature and for which a fast reaction is not necessarily required, the thoron interference may be</w:t>
      </w:r>
      <w:r w:rsidR="005052E9" w:rsidRPr="005052E9">
        <w:rPr>
          <w:rFonts w:cs="Calibri"/>
          <w:szCs w:val="22"/>
          <w:lang w:val="en-GB"/>
        </w:rPr>
        <w:t xml:space="preserve"> </w:t>
      </w:r>
      <w:r w:rsidRPr="00EA647D">
        <w:rPr>
          <w:rFonts w:cs="Calibri"/>
          <w:szCs w:val="22"/>
          <w:lang w:val="en-GB"/>
        </w:rPr>
        <w:t xml:space="preserve">reduced by packing the monitors (or their sensitive volume) in polyethylene foils. The </w:t>
      </w:r>
      <w:r w:rsidR="00894CF9" w:rsidRPr="00EA647D">
        <w:rPr>
          <w:rFonts w:cs="Calibri"/>
          <w:szCs w:val="22"/>
          <w:lang w:val="en-GB"/>
        </w:rPr>
        <w:t xml:space="preserve">temperature </w:t>
      </w:r>
      <w:r w:rsidR="00894CF9" w:rsidRPr="005052E9">
        <w:rPr>
          <w:rFonts w:cs="Calibri"/>
          <w:szCs w:val="22"/>
          <w:lang w:val="en-GB"/>
        </w:rPr>
        <w:t>induced</w:t>
      </w:r>
      <w:r w:rsidRPr="00EA647D">
        <w:rPr>
          <w:rFonts w:cs="Calibri"/>
          <w:szCs w:val="22"/>
          <w:lang w:val="en-GB"/>
        </w:rPr>
        <w:t xml:space="preserve"> bias in the radon readings can be corrected from the temperature record and using the known</w:t>
      </w:r>
      <w:r w:rsidR="005052E9">
        <w:rPr>
          <w:rFonts w:cs="Calibri"/>
          <w:szCs w:val="22"/>
          <w:lang w:val="en-GB"/>
        </w:rPr>
        <w:t xml:space="preserve"> </w:t>
      </w:r>
      <w:r w:rsidRPr="00EA647D">
        <w:rPr>
          <w:rFonts w:cs="Calibri"/>
          <w:szCs w:val="22"/>
          <w:lang w:val="en-GB"/>
        </w:rPr>
        <w:t>dependence of the radon permeability of the foil on the temperature, as described in Deliverable 2.</w:t>
      </w:r>
    </w:p>
    <w:p w14:paraId="1EDE95B8" w14:textId="20A7C7BC" w:rsidR="002B5E27" w:rsidRPr="00EA647D" w:rsidRDefault="002B5E27" w:rsidP="006D6619">
      <w:pPr>
        <w:numPr>
          <w:ilvl w:val="0"/>
          <w:numId w:val="47"/>
        </w:numPr>
        <w:autoSpaceDE w:val="0"/>
        <w:autoSpaceDN w:val="0"/>
        <w:adjustRightInd w:val="0"/>
        <w:spacing w:before="120" w:after="120" w:line="240" w:lineRule="auto"/>
        <w:ind w:left="714" w:hanging="357"/>
        <w:jc w:val="both"/>
        <w:rPr>
          <w:rFonts w:cs="Calibri"/>
          <w:szCs w:val="22"/>
          <w:lang w:val="en-GB"/>
        </w:rPr>
      </w:pPr>
      <w:r w:rsidRPr="00EA647D">
        <w:rPr>
          <w:rFonts w:cs="Calibri"/>
          <w:szCs w:val="22"/>
          <w:lang w:val="en-GB"/>
        </w:rPr>
        <w:t>For instruments for which fast reaction to rapidly changing concentrations is not required, and which</w:t>
      </w:r>
      <w:r w:rsidR="005052E9">
        <w:rPr>
          <w:rFonts w:cs="Calibri"/>
          <w:szCs w:val="22"/>
          <w:lang w:val="en-GB"/>
        </w:rPr>
        <w:t xml:space="preserve"> </w:t>
      </w:r>
      <w:r w:rsidRPr="00EA647D">
        <w:rPr>
          <w:rFonts w:cs="Calibri"/>
          <w:szCs w:val="22"/>
          <w:lang w:val="en-GB"/>
        </w:rPr>
        <w:t>work in a diffusion mode, additional diffusion barrier can be used.</w:t>
      </w:r>
    </w:p>
    <w:p w14:paraId="1152AA86" w14:textId="4EB728B9" w:rsidR="002B5E27" w:rsidRPr="00EA647D" w:rsidRDefault="002B5E27" w:rsidP="006D6619">
      <w:pPr>
        <w:numPr>
          <w:ilvl w:val="0"/>
          <w:numId w:val="47"/>
        </w:numPr>
        <w:autoSpaceDE w:val="0"/>
        <w:autoSpaceDN w:val="0"/>
        <w:adjustRightInd w:val="0"/>
        <w:spacing w:before="120" w:after="120" w:line="240" w:lineRule="auto"/>
        <w:ind w:left="714" w:hanging="357"/>
        <w:jc w:val="both"/>
        <w:rPr>
          <w:rFonts w:cs="Calibri"/>
          <w:szCs w:val="22"/>
          <w:lang w:val="en-GB"/>
        </w:rPr>
      </w:pPr>
      <w:r w:rsidRPr="00EA647D">
        <w:rPr>
          <w:rFonts w:cs="Calibri"/>
          <w:szCs w:val="22"/>
          <w:lang w:val="en-GB"/>
        </w:rPr>
        <w:t>For passive detectors diffusion barriers might be considered in the design and tested in the</w:t>
      </w:r>
      <w:r w:rsidR="005052E9" w:rsidRPr="005052E9">
        <w:rPr>
          <w:rFonts w:cs="Calibri"/>
          <w:szCs w:val="22"/>
          <w:lang w:val="en-GB"/>
        </w:rPr>
        <w:t xml:space="preserve"> </w:t>
      </w:r>
      <w:r w:rsidRPr="00EA647D">
        <w:rPr>
          <w:rFonts w:cs="Calibri"/>
          <w:szCs w:val="22"/>
          <w:lang w:val="en-GB"/>
        </w:rPr>
        <w:t>prototypes. If instruments are scheduled to work at high humidity we recommend diffusion barriers</w:t>
      </w:r>
      <w:r w:rsidR="005052E9">
        <w:rPr>
          <w:rFonts w:cs="Calibri"/>
          <w:szCs w:val="22"/>
          <w:lang w:val="en-GB"/>
        </w:rPr>
        <w:t xml:space="preserve"> </w:t>
      </w:r>
      <w:r w:rsidRPr="00EA647D">
        <w:rPr>
          <w:rFonts w:cs="Calibri"/>
          <w:szCs w:val="22"/>
          <w:lang w:val="en-GB"/>
        </w:rPr>
        <w:t>based on polyethylene foils of low density polyethylene.</w:t>
      </w:r>
    </w:p>
    <w:p w14:paraId="2B64A14F" w14:textId="21FF1BA9" w:rsidR="002B5E27" w:rsidRPr="00EA647D" w:rsidRDefault="002B5E27" w:rsidP="006D6619">
      <w:pPr>
        <w:numPr>
          <w:ilvl w:val="0"/>
          <w:numId w:val="47"/>
        </w:numPr>
        <w:autoSpaceDE w:val="0"/>
        <w:autoSpaceDN w:val="0"/>
        <w:adjustRightInd w:val="0"/>
        <w:spacing w:before="120" w:after="120" w:line="240" w:lineRule="auto"/>
        <w:ind w:left="714" w:hanging="357"/>
        <w:jc w:val="both"/>
        <w:rPr>
          <w:rFonts w:cs="Calibri"/>
          <w:szCs w:val="22"/>
          <w:lang w:val="en-GB"/>
        </w:rPr>
      </w:pPr>
      <w:r w:rsidRPr="00EA647D">
        <w:rPr>
          <w:rFonts w:cs="Calibri"/>
          <w:szCs w:val="22"/>
          <w:lang w:val="en-GB"/>
        </w:rPr>
        <w:t>For detectors in which the usage of polyethylene packing is planned to reduce the thoron interference, it is recommended to calibrate the packed detectors and to perform the calibration at temperature which is close to the expected mean temperature during the measurement. This is to comply with the general principle that the conditions during the calibration and the measurement should be as close as possible.</w:t>
      </w:r>
    </w:p>
    <w:p w14:paraId="189A5E7F" w14:textId="34503277" w:rsidR="002B5E27" w:rsidRPr="0059122F" w:rsidRDefault="002B5E27">
      <w:pPr>
        <w:numPr>
          <w:ilvl w:val="0"/>
          <w:numId w:val="47"/>
        </w:numPr>
        <w:autoSpaceDE w:val="0"/>
        <w:autoSpaceDN w:val="0"/>
        <w:adjustRightInd w:val="0"/>
        <w:spacing w:before="120" w:after="120" w:line="240" w:lineRule="auto"/>
        <w:jc w:val="both"/>
        <w:rPr>
          <w:rFonts w:cs="Calibri"/>
          <w:szCs w:val="22"/>
          <w:lang w:val="en-GB"/>
        </w:rPr>
      </w:pPr>
      <w:r w:rsidRPr="00EA647D">
        <w:rPr>
          <w:rFonts w:cs="Calibri"/>
          <w:szCs w:val="22"/>
          <w:lang w:val="en-GB"/>
        </w:rPr>
        <w:t>For detectors in which the usage of polyethylene packing is planned to reduce the thoron interference,</w:t>
      </w:r>
      <w:r w:rsidR="001F5D55">
        <w:rPr>
          <w:rFonts w:cs="Calibri"/>
          <w:szCs w:val="22"/>
          <w:lang w:val="en-GB"/>
        </w:rPr>
        <w:t xml:space="preserve"> </w:t>
      </w:r>
      <w:r w:rsidRPr="00EA647D">
        <w:rPr>
          <w:rFonts w:cs="Calibri"/>
          <w:szCs w:val="22"/>
          <w:lang w:val="en-GB"/>
        </w:rPr>
        <w:t xml:space="preserve">a possible temperature bias may be introduced. Methods for handling and taking account of this bias are </w:t>
      </w:r>
      <w:r w:rsidRPr="0059122F">
        <w:rPr>
          <w:rFonts w:cs="Calibri"/>
          <w:szCs w:val="22"/>
          <w:lang w:val="en-GB"/>
        </w:rPr>
        <w:t xml:space="preserve">proposed </w:t>
      </w:r>
      <w:r w:rsidRPr="00582E85">
        <w:rPr>
          <w:rFonts w:cs="Calibri"/>
          <w:szCs w:val="22"/>
          <w:lang w:val="en-GB"/>
        </w:rPr>
        <w:t>in Deliverable 2</w:t>
      </w:r>
      <w:r w:rsidR="0059122F">
        <w:rPr>
          <w:rFonts w:cs="Calibri"/>
          <w:szCs w:val="22"/>
          <w:lang w:val="en-GB"/>
        </w:rPr>
        <w:t xml:space="preserve"> (</w:t>
      </w:r>
      <w:r w:rsidR="0059122F" w:rsidRPr="0059122F">
        <w:rPr>
          <w:rFonts w:cs="Calibri"/>
          <w:szCs w:val="22"/>
          <w:lang w:val="en-GB"/>
        </w:rPr>
        <w:t>http://metroradon.eu/)</w:t>
      </w:r>
      <w:r w:rsidRPr="0059122F">
        <w:rPr>
          <w:rFonts w:cs="Calibri"/>
          <w:szCs w:val="22"/>
          <w:lang w:val="en-GB"/>
        </w:rPr>
        <w:t xml:space="preserve">. In particular, for detectors that have response decreasing with the increase of the temperature, also the temperature bias can be compensated if the anti-thoron polymer packing is designed as a compensation module, as described in Deliverable </w:t>
      </w:r>
      <w:r w:rsidR="00894CF9" w:rsidRPr="0059122F">
        <w:rPr>
          <w:rFonts w:cs="Calibri"/>
          <w:szCs w:val="22"/>
          <w:lang w:val="en-GB"/>
        </w:rPr>
        <w:t>2. Such compensation module can</w:t>
      </w:r>
      <w:r w:rsidRPr="0059122F">
        <w:rPr>
          <w:rFonts w:cs="Calibri"/>
          <w:szCs w:val="22"/>
          <w:lang w:val="en-GB"/>
        </w:rPr>
        <w:t xml:space="preserve"> reduce/compensate the temperature dependence of the detectors’ response  +  thoron interference  +  humidity influence.</w:t>
      </w:r>
    </w:p>
    <w:p w14:paraId="350FA150" w14:textId="77777777" w:rsidR="00C26CA8" w:rsidRDefault="00C26CA8" w:rsidP="00EA647D">
      <w:pPr>
        <w:rPr>
          <w:lang w:val="en-US"/>
        </w:rPr>
      </w:pPr>
    </w:p>
    <w:p w14:paraId="609CC144" w14:textId="17ED11C8" w:rsidR="00185F48" w:rsidRPr="002B5E27" w:rsidRDefault="00C26CA8" w:rsidP="00EA647D">
      <w:pPr>
        <w:pStyle w:val="Heading1"/>
        <w:rPr>
          <w:lang w:val="en-US"/>
        </w:rPr>
      </w:pPr>
      <w:bookmarkStart w:id="116" w:name="_Toc58936340"/>
      <w:r>
        <w:rPr>
          <w:lang w:val="en-US"/>
        </w:rPr>
        <w:t>6.</w:t>
      </w:r>
      <w:r w:rsidR="0053117A">
        <w:rPr>
          <w:lang w:val="en-US"/>
        </w:rPr>
        <w:t xml:space="preserve"> </w:t>
      </w:r>
      <w:r>
        <w:rPr>
          <w:lang w:val="en-US"/>
        </w:rPr>
        <w:t>Traceability of primary and secondary radon calibration facilities in Europe</w:t>
      </w:r>
      <w:bookmarkEnd w:id="116"/>
    </w:p>
    <w:p w14:paraId="5E1A45F2" w14:textId="51C244E8" w:rsidR="00074E73" w:rsidRPr="001456A0" w:rsidRDefault="00894CF9" w:rsidP="00EA647D">
      <w:pPr>
        <w:jc w:val="both"/>
        <w:rPr>
          <w:lang w:val="en-GB"/>
        </w:rPr>
      </w:pPr>
      <w:bookmarkStart w:id="117" w:name="_Toc54953109"/>
      <w:bookmarkStart w:id="118" w:name="_Toc54953452"/>
      <w:bookmarkStart w:id="119" w:name="_Toc54953567"/>
      <w:bookmarkStart w:id="120" w:name="_Toc54953660"/>
      <w:bookmarkStart w:id="121" w:name="_Toc54953863"/>
      <w:bookmarkStart w:id="122" w:name="_Toc54955297"/>
      <w:bookmarkStart w:id="123" w:name="_Toc54955386"/>
      <w:bookmarkStart w:id="124" w:name="_Toc54955474"/>
      <w:bookmarkStart w:id="125" w:name="_Toc54955652"/>
      <w:bookmarkStart w:id="126" w:name="_Toc54955742"/>
      <w:bookmarkStart w:id="127" w:name="_Toc54955829"/>
      <w:bookmarkStart w:id="128" w:name="_Toc54955916"/>
      <w:bookmarkStart w:id="129" w:name="_Toc54953110"/>
      <w:bookmarkStart w:id="130" w:name="_Toc54953453"/>
      <w:bookmarkStart w:id="131" w:name="_Toc54953568"/>
      <w:bookmarkStart w:id="132" w:name="_Toc54953661"/>
      <w:bookmarkStart w:id="133" w:name="_Toc54953864"/>
      <w:bookmarkStart w:id="134" w:name="_Toc54955298"/>
      <w:bookmarkStart w:id="135" w:name="_Toc54955387"/>
      <w:bookmarkStart w:id="136" w:name="_Toc54955475"/>
      <w:bookmarkStart w:id="137" w:name="_Toc54955653"/>
      <w:bookmarkStart w:id="138" w:name="_Toc54955743"/>
      <w:bookmarkStart w:id="139" w:name="_Toc54955830"/>
      <w:bookmarkStart w:id="140" w:name="_Toc54955917"/>
      <w:bookmarkStart w:id="141" w:name="_Toc54953111"/>
      <w:bookmarkStart w:id="142" w:name="_Toc54953454"/>
      <w:bookmarkStart w:id="143" w:name="_Toc54953569"/>
      <w:bookmarkStart w:id="144" w:name="_Toc54953662"/>
      <w:bookmarkStart w:id="145" w:name="_Toc54953865"/>
      <w:bookmarkStart w:id="146" w:name="_Toc54955299"/>
      <w:bookmarkStart w:id="147" w:name="_Toc54955388"/>
      <w:bookmarkStart w:id="148" w:name="_Toc54955476"/>
      <w:bookmarkStart w:id="149" w:name="_Toc54955654"/>
      <w:bookmarkStart w:id="150" w:name="_Toc54955744"/>
      <w:bookmarkStart w:id="151" w:name="_Toc54955831"/>
      <w:bookmarkStart w:id="152" w:name="_Toc54955918"/>
      <w:bookmarkStart w:id="153" w:name="_Toc54953112"/>
      <w:bookmarkStart w:id="154" w:name="_Toc54953455"/>
      <w:bookmarkStart w:id="155" w:name="_Toc54953570"/>
      <w:bookmarkStart w:id="156" w:name="_Toc54953663"/>
      <w:bookmarkStart w:id="157" w:name="_Toc54953866"/>
      <w:bookmarkStart w:id="158" w:name="_Toc54955300"/>
      <w:bookmarkStart w:id="159" w:name="_Toc54955389"/>
      <w:bookmarkStart w:id="160" w:name="_Toc54955477"/>
      <w:bookmarkStart w:id="161" w:name="_Toc54955655"/>
      <w:bookmarkStart w:id="162" w:name="_Toc54955745"/>
      <w:bookmarkStart w:id="163" w:name="_Toc54955832"/>
      <w:bookmarkStart w:id="164" w:name="_Toc54955919"/>
      <w:bookmarkStart w:id="165" w:name="_Toc54953113"/>
      <w:bookmarkStart w:id="166" w:name="_Toc54953456"/>
      <w:bookmarkStart w:id="167" w:name="_Toc54953571"/>
      <w:bookmarkStart w:id="168" w:name="_Toc54953664"/>
      <w:bookmarkStart w:id="169" w:name="_Toc54953867"/>
      <w:bookmarkStart w:id="170" w:name="_Toc54955301"/>
      <w:bookmarkStart w:id="171" w:name="_Toc54955390"/>
      <w:bookmarkStart w:id="172" w:name="_Toc54955478"/>
      <w:bookmarkStart w:id="173" w:name="_Toc54955656"/>
      <w:bookmarkStart w:id="174" w:name="_Toc54955746"/>
      <w:bookmarkStart w:id="175" w:name="_Toc54955833"/>
      <w:bookmarkStart w:id="176" w:name="_Toc54955920"/>
      <w:bookmarkStart w:id="177" w:name="_Toc54953114"/>
      <w:bookmarkStart w:id="178" w:name="_Toc54953457"/>
      <w:bookmarkStart w:id="179" w:name="_Toc54953572"/>
      <w:bookmarkStart w:id="180" w:name="_Toc54953665"/>
      <w:bookmarkStart w:id="181" w:name="_Toc54953868"/>
      <w:bookmarkStart w:id="182" w:name="_Toc54955302"/>
      <w:bookmarkStart w:id="183" w:name="_Toc54955391"/>
      <w:bookmarkStart w:id="184" w:name="_Toc54955479"/>
      <w:bookmarkStart w:id="185" w:name="_Toc54955657"/>
      <w:bookmarkStart w:id="186" w:name="_Toc54955747"/>
      <w:bookmarkStart w:id="187" w:name="_Toc54955834"/>
      <w:bookmarkStart w:id="188" w:name="_Toc54955921"/>
      <w:bookmarkStart w:id="189" w:name="_Toc54953115"/>
      <w:bookmarkStart w:id="190" w:name="_Toc54953458"/>
      <w:bookmarkStart w:id="191" w:name="_Toc54953573"/>
      <w:bookmarkStart w:id="192" w:name="_Toc54953666"/>
      <w:bookmarkStart w:id="193" w:name="_Toc54953869"/>
      <w:bookmarkStart w:id="194" w:name="_Toc54955303"/>
      <w:bookmarkStart w:id="195" w:name="_Toc54955392"/>
      <w:bookmarkStart w:id="196" w:name="_Toc54955480"/>
      <w:bookmarkStart w:id="197" w:name="_Toc54955658"/>
      <w:bookmarkStart w:id="198" w:name="_Toc54955748"/>
      <w:bookmarkStart w:id="199" w:name="_Toc54955835"/>
      <w:bookmarkStart w:id="200" w:name="_Toc54955922"/>
      <w:bookmarkStart w:id="201" w:name="_Toc54953116"/>
      <w:bookmarkStart w:id="202" w:name="_Toc54953459"/>
      <w:bookmarkStart w:id="203" w:name="_Toc54953574"/>
      <w:bookmarkStart w:id="204" w:name="_Toc54953667"/>
      <w:bookmarkStart w:id="205" w:name="_Toc54953870"/>
      <w:bookmarkStart w:id="206" w:name="_Toc54955304"/>
      <w:bookmarkStart w:id="207" w:name="_Toc54955393"/>
      <w:bookmarkStart w:id="208" w:name="_Toc54955481"/>
      <w:bookmarkStart w:id="209" w:name="_Toc54955659"/>
      <w:bookmarkStart w:id="210" w:name="_Toc54955749"/>
      <w:bookmarkStart w:id="211" w:name="_Toc54955836"/>
      <w:bookmarkStart w:id="212" w:name="_Toc54955923"/>
      <w:bookmarkStart w:id="213" w:name="_Toc54953117"/>
      <w:bookmarkStart w:id="214" w:name="_Toc54953460"/>
      <w:bookmarkStart w:id="215" w:name="_Toc54953575"/>
      <w:bookmarkStart w:id="216" w:name="_Toc54953668"/>
      <w:bookmarkStart w:id="217" w:name="_Toc54953871"/>
      <w:bookmarkStart w:id="218" w:name="_Toc54955305"/>
      <w:bookmarkStart w:id="219" w:name="_Toc54955394"/>
      <w:bookmarkStart w:id="220" w:name="_Toc54955482"/>
      <w:bookmarkStart w:id="221" w:name="_Toc54955660"/>
      <w:bookmarkStart w:id="222" w:name="_Toc54955750"/>
      <w:bookmarkStart w:id="223" w:name="_Toc54955837"/>
      <w:bookmarkStart w:id="224" w:name="_Toc54955924"/>
      <w:bookmarkStart w:id="225" w:name="_Toc54953118"/>
      <w:bookmarkStart w:id="226" w:name="_Toc54953461"/>
      <w:bookmarkStart w:id="227" w:name="_Toc54953576"/>
      <w:bookmarkStart w:id="228" w:name="_Toc54953669"/>
      <w:bookmarkStart w:id="229" w:name="_Toc54953872"/>
      <w:bookmarkStart w:id="230" w:name="_Toc54955306"/>
      <w:bookmarkStart w:id="231" w:name="_Toc54955395"/>
      <w:bookmarkStart w:id="232" w:name="_Toc54955483"/>
      <w:bookmarkStart w:id="233" w:name="_Toc54955661"/>
      <w:bookmarkStart w:id="234" w:name="_Toc54955751"/>
      <w:bookmarkStart w:id="235" w:name="_Toc54955838"/>
      <w:bookmarkStart w:id="236" w:name="_Toc54955925"/>
      <w:bookmarkStart w:id="237" w:name="_Toc54953119"/>
      <w:bookmarkStart w:id="238" w:name="_Toc54953462"/>
      <w:bookmarkStart w:id="239" w:name="_Toc54953577"/>
      <w:bookmarkStart w:id="240" w:name="_Toc54953670"/>
      <w:bookmarkStart w:id="241" w:name="_Toc54953873"/>
      <w:bookmarkStart w:id="242" w:name="_Toc54955307"/>
      <w:bookmarkStart w:id="243" w:name="_Toc54955396"/>
      <w:bookmarkStart w:id="244" w:name="_Toc54955484"/>
      <w:bookmarkStart w:id="245" w:name="_Toc54955662"/>
      <w:bookmarkStart w:id="246" w:name="_Toc54955752"/>
      <w:bookmarkStart w:id="247" w:name="_Toc54955839"/>
      <w:bookmarkStart w:id="248" w:name="_Toc54955926"/>
      <w:bookmarkStart w:id="249" w:name="_Toc54953120"/>
      <w:bookmarkStart w:id="250" w:name="_Toc54953463"/>
      <w:bookmarkStart w:id="251" w:name="_Toc54953578"/>
      <w:bookmarkStart w:id="252" w:name="_Toc54953671"/>
      <w:bookmarkStart w:id="253" w:name="_Toc54953874"/>
      <w:bookmarkStart w:id="254" w:name="_Toc54955308"/>
      <w:bookmarkStart w:id="255" w:name="_Toc54955397"/>
      <w:bookmarkStart w:id="256" w:name="_Toc54955485"/>
      <w:bookmarkStart w:id="257" w:name="_Toc54955663"/>
      <w:bookmarkStart w:id="258" w:name="_Toc54955753"/>
      <w:bookmarkStart w:id="259" w:name="_Toc54955840"/>
      <w:bookmarkStart w:id="260" w:name="_Toc54955927"/>
      <w:bookmarkStart w:id="261" w:name="_Toc54953121"/>
      <w:bookmarkStart w:id="262" w:name="_Toc54953464"/>
      <w:bookmarkStart w:id="263" w:name="_Toc54953579"/>
      <w:bookmarkStart w:id="264" w:name="_Toc54953672"/>
      <w:bookmarkStart w:id="265" w:name="_Toc54953875"/>
      <w:bookmarkStart w:id="266" w:name="_Toc54955309"/>
      <w:bookmarkStart w:id="267" w:name="_Toc54955398"/>
      <w:bookmarkStart w:id="268" w:name="_Toc54955486"/>
      <w:bookmarkStart w:id="269" w:name="_Toc54955664"/>
      <w:bookmarkStart w:id="270" w:name="_Toc54955754"/>
      <w:bookmarkStart w:id="271" w:name="_Toc54955841"/>
      <w:bookmarkStart w:id="272" w:name="_Toc54955928"/>
      <w:bookmarkStart w:id="273" w:name="_Toc54953122"/>
      <w:bookmarkStart w:id="274" w:name="_Toc54953465"/>
      <w:bookmarkStart w:id="275" w:name="_Toc54953580"/>
      <w:bookmarkStart w:id="276" w:name="_Toc54953673"/>
      <w:bookmarkStart w:id="277" w:name="_Toc54953876"/>
      <w:bookmarkStart w:id="278" w:name="_Toc54955310"/>
      <w:bookmarkStart w:id="279" w:name="_Toc54955399"/>
      <w:bookmarkStart w:id="280" w:name="_Toc54955487"/>
      <w:bookmarkStart w:id="281" w:name="_Toc54955665"/>
      <w:bookmarkStart w:id="282" w:name="_Toc54955755"/>
      <w:bookmarkStart w:id="283" w:name="_Toc54955842"/>
      <w:bookmarkStart w:id="284" w:name="_Toc54955929"/>
      <w:bookmarkStart w:id="285" w:name="_Toc54953123"/>
      <w:bookmarkStart w:id="286" w:name="_Toc54953466"/>
      <w:bookmarkStart w:id="287" w:name="_Toc54953581"/>
      <w:bookmarkStart w:id="288" w:name="_Toc54953674"/>
      <w:bookmarkStart w:id="289" w:name="_Toc54953877"/>
      <w:bookmarkStart w:id="290" w:name="_Toc54955311"/>
      <w:bookmarkStart w:id="291" w:name="_Toc54955400"/>
      <w:bookmarkStart w:id="292" w:name="_Toc54955488"/>
      <w:bookmarkStart w:id="293" w:name="_Toc54955666"/>
      <w:bookmarkStart w:id="294" w:name="_Toc54955756"/>
      <w:bookmarkStart w:id="295" w:name="_Toc54955843"/>
      <w:bookmarkStart w:id="296" w:name="_Toc54955930"/>
      <w:bookmarkStart w:id="297" w:name="_Toc54953124"/>
      <w:bookmarkStart w:id="298" w:name="_Toc54953467"/>
      <w:bookmarkStart w:id="299" w:name="_Toc54953582"/>
      <w:bookmarkStart w:id="300" w:name="_Toc54953675"/>
      <w:bookmarkStart w:id="301" w:name="_Toc54953878"/>
      <w:bookmarkStart w:id="302" w:name="_Toc54955312"/>
      <w:bookmarkStart w:id="303" w:name="_Toc54955401"/>
      <w:bookmarkStart w:id="304" w:name="_Toc54955489"/>
      <w:bookmarkStart w:id="305" w:name="_Toc54955667"/>
      <w:bookmarkStart w:id="306" w:name="_Toc54955757"/>
      <w:bookmarkStart w:id="307" w:name="_Toc54955844"/>
      <w:bookmarkStart w:id="308" w:name="_Toc54955931"/>
      <w:bookmarkStart w:id="309" w:name="_Toc54953125"/>
      <w:bookmarkStart w:id="310" w:name="_Toc54953468"/>
      <w:bookmarkStart w:id="311" w:name="_Toc54953583"/>
      <w:bookmarkStart w:id="312" w:name="_Toc54953676"/>
      <w:bookmarkStart w:id="313" w:name="_Toc54953879"/>
      <w:bookmarkStart w:id="314" w:name="_Toc54955313"/>
      <w:bookmarkStart w:id="315" w:name="_Toc54955402"/>
      <w:bookmarkStart w:id="316" w:name="_Toc54955490"/>
      <w:bookmarkStart w:id="317" w:name="_Toc54955668"/>
      <w:bookmarkStart w:id="318" w:name="_Toc54955758"/>
      <w:bookmarkStart w:id="319" w:name="_Toc54955845"/>
      <w:bookmarkStart w:id="320" w:name="_Toc54955932"/>
      <w:bookmarkStart w:id="321" w:name="_Toc54953126"/>
      <w:bookmarkStart w:id="322" w:name="_Toc54953469"/>
      <w:bookmarkStart w:id="323" w:name="_Toc54953584"/>
      <w:bookmarkStart w:id="324" w:name="_Toc54953677"/>
      <w:bookmarkStart w:id="325" w:name="_Toc54953880"/>
      <w:bookmarkStart w:id="326" w:name="_Toc54955314"/>
      <w:bookmarkStart w:id="327" w:name="_Toc54955403"/>
      <w:bookmarkStart w:id="328" w:name="_Toc54955491"/>
      <w:bookmarkStart w:id="329" w:name="_Toc54955669"/>
      <w:bookmarkStart w:id="330" w:name="_Toc54955759"/>
      <w:bookmarkStart w:id="331" w:name="_Toc54955846"/>
      <w:bookmarkStart w:id="332" w:name="_Toc54955933"/>
      <w:bookmarkStart w:id="333" w:name="_Toc54953127"/>
      <w:bookmarkStart w:id="334" w:name="_Toc54953470"/>
      <w:bookmarkStart w:id="335" w:name="_Toc54953585"/>
      <w:bookmarkStart w:id="336" w:name="_Toc54953678"/>
      <w:bookmarkStart w:id="337" w:name="_Toc54953881"/>
      <w:bookmarkStart w:id="338" w:name="_Toc54955315"/>
      <w:bookmarkStart w:id="339" w:name="_Toc54955404"/>
      <w:bookmarkStart w:id="340" w:name="_Toc54955492"/>
      <w:bookmarkStart w:id="341" w:name="_Toc54955670"/>
      <w:bookmarkStart w:id="342" w:name="_Toc54955760"/>
      <w:bookmarkStart w:id="343" w:name="_Toc54955847"/>
      <w:bookmarkStart w:id="344" w:name="_Toc54955934"/>
      <w:bookmarkStart w:id="345" w:name="_Toc54953128"/>
      <w:bookmarkStart w:id="346" w:name="_Toc54953471"/>
      <w:bookmarkStart w:id="347" w:name="_Toc54953586"/>
      <w:bookmarkStart w:id="348" w:name="_Toc54953679"/>
      <w:bookmarkStart w:id="349" w:name="_Toc54953882"/>
      <w:bookmarkStart w:id="350" w:name="_Toc54955316"/>
      <w:bookmarkStart w:id="351" w:name="_Toc54955405"/>
      <w:bookmarkStart w:id="352" w:name="_Toc54955493"/>
      <w:bookmarkStart w:id="353" w:name="_Toc54955671"/>
      <w:bookmarkStart w:id="354" w:name="_Toc54955761"/>
      <w:bookmarkStart w:id="355" w:name="_Toc54955848"/>
      <w:bookmarkStart w:id="356" w:name="_Toc54955935"/>
      <w:bookmarkStart w:id="357" w:name="_Toc54953129"/>
      <w:bookmarkStart w:id="358" w:name="_Toc54953472"/>
      <w:bookmarkStart w:id="359" w:name="_Toc54953587"/>
      <w:bookmarkStart w:id="360" w:name="_Toc54953680"/>
      <w:bookmarkStart w:id="361" w:name="_Toc54953883"/>
      <w:bookmarkStart w:id="362" w:name="_Toc54955317"/>
      <w:bookmarkStart w:id="363" w:name="_Toc54955406"/>
      <w:bookmarkStart w:id="364" w:name="_Toc54955494"/>
      <w:bookmarkStart w:id="365" w:name="_Toc54955672"/>
      <w:bookmarkStart w:id="366" w:name="_Toc54955762"/>
      <w:bookmarkStart w:id="367" w:name="_Toc54955849"/>
      <w:bookmarkStart w:id="368" w:name="_Toc54955936"/>
      <w:bookmarkStart w:id="369" w:name="_Toc54953130"/>
      <w:bookmarkStart w:id="370" w:name="_Toc54953473"/>
      <w:bookmarkStart w:id="371" w:name="_Toc54953588"/>
      <w:bookmarkStart w:id="372" w:name="_Toc54953681"/>
      <w:bookmarkStart w:id="373" w:name="_Toc54953884"/>
      <w:bookmarkStart w:id="374" w:name="_Toc54955318"/>
      <w:bookmarkStart w:id="375" w:name="_Toc54955407"/>
      <w:bookmarkStart w:id="376" w:name="_Toc54955495"/>
      <w:bookmarkStart w:id="377" w:name="_Toc54955673"/>
      <w:bookmarkStart w:id="378" w:name="_Toc54955763"/>
      <w:bookmarkStart w:id="379" w:name="_Toc54955850"/>
      <w:bookmarkStart w:id="380" w:name="_Toc54955937"/>
      <w:bookmarkStart w:id="381" w:name="_Toc54953131"/>
      <w:bookmarkStart w:id="382" w:name="_Toc54953474"/>
      <w:bookmarkStart w:id="383" w:name="_Toc54953589"/>
      <w:bookmarkStart w:id="384" w:name="_Toc54953682"/>
      <w:bookmarkStart w:id="385" w:name="_Toc54953885"/>
      <w:bookmarkStart w:id="386" w:name="_Toc54955319"/>
      <w:bookmarkStart w:id="387" w:name="_Toc54955408"/>
      <w:bookmarkStart w:id="388" w:name="_Toc54955496"/>
      <w:bookmarkStart w:id="389" w:name="_Toc54955674"/>
      <w:bookmarkStart w:id="390" w:name="_Toc54955764"/>
      <w:bookmarkStart w:id="391" w:name="_Toc54955851"/>
      <w:bookmarkStart w:id="392" w:name="_Toc54955938"/>
      <w:bookmarkStart w:id="393" w:name="_Toc54953132"/>
      <w:bookmarkStart w:id="394" w:name="_Toc54953475"/>
      <w:bookmarkStart w:id="395" w:name="_Toc54953590"/>
      <w:bookmarkStart w:id="396" w:name="_Toc54953683"/>
      <w:bookmarkStart w:id="397" w:name="_Toc54953886"/>
      <w:bookmarkStart w:id="398" w:name="_Toc54955320"/>
      <w:bookmarkStart w:id="399" w:name="_Toc54955409"/>
      <w:bookmarkStart w:id="400" w:name="_Toc54955497"/>
      <w:bookmarkStart w:id="401" w:name="_Toc54955675"/>
      <w:bookmarkStart w:id="402" w:name="_Toc54955765"/>
      <w:bookmarkStart w:id="403" w:name="_Toc54955852"/>
      <w:bookmarkStart w:id="404" w:name="_Toc54955939"/>
      <w:bookmarkStart w:id="405" w:name="_Toc54953133"/>
      <w:bookmarkStart w:id="406" w:name="_Toc54953476"/>
      <w:bookmarkStart w:id="407" w:name="_Toc54953591"/>
      <w:bookmarkStart w:id="408" w:name="_Toc54953684"/>
      <w:bookmarkStart w:id="409" w:name="_Toc54953887"/>
      <w:bookmarkStart w:id="410" w:name="_Toc54955321"/>
      <w:bookmarkStart w:id="411" w:name="_Toc54955410"/>
      <w:bookmarkStart w:id="412" w:name="_Toc54955498"/>
      <w:bookmarkStart w:id="413" w:name="_Toc54955676"/>
      <w:bookmarkStart w:id="414" w:name="_Toc54955766"/>
      <w:bookmarkStart w:id="415" w:name="_Toc54955853"/>
      <w:bookmarkStart w:id="416" w:name="_Toc54955940"/>
      <w:bookmarkStart w:id="417" w:name="_Toc54953134"/>
      <w:bookmarkStart w:id="418" w:name="_Toc54953477"/>
      <w:bookmarkStart w:id="419" w:name="_Toc54953592"/>
      <w:bookmarkStart w:id="420" w:name="_Toc54953685"/>
      <w:bookmarkStart w:id="421" w:name="_Toc54953888"/>
      <w:bookmarkStart w:id="422" w:name="_Toc54955322"/>
      <w:bookmarkStart w:id="423" w:name="_Toc54955411"/>
      <w:bookmarkStart w:id="424" w:name="_Toc54955499"/>
      <w:bookmarkStart w:id="425" w:name="_Toc54955677"/>
      <w:bookmarkStart w:id="426" w:name="_Toc54955767"/>
      <w:bookmarkStart w:id="427" w:name="_Toc54955854"/>
      <w:bookmarkStart w:id="428" w:name="_Toc54955941"/>
      <w:bookmarkStart w:id="429" w:name="_Toc54953135"/>
      <w:bookmarkStart w:id="430" w:name="_Toc54953478"/>
      <w:bookmarkStart w:id="431" w:name="_Toc54953593"/>
      <w:bookmarkStart w:id="432" w:name="_Toc54953686"/>
      <w:bookmarkStart w:id="433" w:name="_Toc54953889"/>
      <w:bookmarkStart w:id="434" w:name="_Toc54955323"/>
      <w:bookmarkStart w:id="435" w:name="_Toc54955412"/>
      <w:bookmarkStart w:id="436" w:name="_Toc54955500"/>
      <w:bookmarkStart w:id="437" w:name="_Toc54955678"/>
      <w:bookmarkStart w:id="438" w:name="_Toc54955768"/>
      <w:bookmarkStart w:id="439" w:name="_Toc54955855"/>
      <w:bookmarkStart w:id="440" w:name="_Toc54955942"/>
      <w:bookmarkStart w:id="441" w:name="_Toc54953136"/>
      <w:bookmarkStart w:id="442" w:name="_Toc54953479"/>
      <w:bookmarkStart w:id="443" w:name="_Toc54953594"/>
      <w:bookmarkStart w:id="444" w:name="_Toc54953687"/>
      <w:bookmarkStart w:id="445" w:name="_Toc54953890"/>
      <w:bookmarkStart w:id="446" w:name="_Toc54955324"/>
      <w:bookmarkStart w:id="447" w:name="_Toc54955413"/>
      <w:bookmarkStart w:id="448" w:name="_Toc54955501"/>
      <w:bookmarkStart w:id="449" w:name="_Toc54955679"/>
      <w:bookmarkStart w:id="450" w:name="_Toc54955769"/>
      <w:bookmarkStart w:id="451" w:name="_Toc54955856"/>
      <w:bookmarkStart w:id="452" w:name="_Toc54955943"/>
      <w:bookmarkStart w:id="453" w:name="_Toc54953137"/>
      <w:bookmarkStart w:id="454" w:name="_Toc54953480"/>
      <w:bookmarkStart w:id="455" w:name="_Toc54953595"/>
      <w:bookmarkStart w:id="456" w:name="_Toc54953688"/>
      <w:bookmarkStart w:id="457" w:name="_Toc54953891"/>
      <w:bookmarkStart w:id="458" w:name="_Toc54955325"/>
      <w:bookmarkStart w:id="459" w:name="_Toc54955414"/>
      <w:bookmarkStart w:id="460" w:name="_Toc54955502"/>
      <w:bookmarkStart w:id="461" w:name="_Toc54955680"/>
      <w:bookmarkStart w:id="462" w:name="_Toc54955770"/>
      <w:bookmarkStart w:id="463" w:name="_Toc54955857"/>
      <w:bookmarkStart w:id="464" w:name="_Toc54955944"/>
      <w:bookmarkStart w:id="465" w:name="_Toc54953138"/>
      <w:bookmarkStart w:id="466" w:name="_Toc54953481"/>
      <w:bookmarkStart w:id="467" w:name="_Toc54953596"/>
      <w:bookmarkStart w:id="468" w:name="_Toc54953689"/>
      <w:bookmarkStart w:id="469" w:name="_Toc54953892"/>
      <w:bookmarkStart w:id="470" w:name="_Toc54955326"/>
      <w:bookmarkStart w:id="471" w:name="_Toc54955415"/>
      <w:bookmarkStart w:id="472" w:name="_Toc54955503"/>
      <w:bookmarkStart w:id="473" w:name="_Toc54955681"/>
      <w:bookmarkStart w:id="474" w:name="_Toc54955771"/>
      <w:bookmarkStart w:id="475" w:name="_Toc54955858"/>
      <w:bookmarkStart w:id="476" w:name="_Toc54955945"/>
      <w:bookmarkStart w:id="477" w:name="_Toc54953139"/>
      <w:bookmarkStart w:id="478" w:name="_Toc54953482"/>
      <w:bookmarkStart w:id="479" w:name="_Toc54953597"/>
      <w:bookmarkStart w:id="480" w:name="_Toc54953690"/>
      <w:bookmarkStart w:id="481" w:name="_Toc54953893"/>
      <w:bookmarkStart w:id="482" w:name="_Toc54955327"/>
      <w:bookmarkStart w:id="483" w:name="_Toc54955416"/>
      <w:bookmarkStart w:id="484" w:name="_Toc54955504"/>
      <w:bookmarkStart w:id="485" w:name="_Toc54955682"/>
      <w:bookmarkStart w:id="486" w:name="_Toc54955772"/>
      <w:bookmarkStart w:id="487" w:name="_Toc54955859"/>
      <w:bookmarkStart w:id="488" w:name="_Toc54955946"/>
      <w:bookmarkStart w:id="489" w:name="_Toc54953140"/>
      <w:bookmarkStart w:id="490" w:name="_Toc54953483"/>
      <w:bookmarkStart w:id="491" w:name="_Toc54953598"/>
      <w:bookmarkStart w:id="492" w:name="_Toc54953691"/>
      <w:bookmarkStart w:id="493" w:name="_Toc54953894"/>
      <w:bookmarkStart w:id="494" w:name="_Toc54955328"/>
      <w:bookmarkStart w:id="495" w:name="_Toc54955417"/>
      <w:bookmarkStart w:id="496" w:name="_Toc54955505"/>
      <w:bookmarkStart w:id="497" w:name="_Toc54955683"/>
      <w:bookmarkStart w:id="498" w:name="_Toc54955773"/>
      <w:bookmarkStart w:id="499" w:name="_Toc54955860"/>
      <w:bookmarkStart w:id="500" w:name="_Toc54955947"/>
      <w:bookmarkStart w:id="501" w:name="_Toc54953141"/>
      <w:bookmarkStart w:id="502" w:name="_Toc54953484"/>
      <w:bookmarkStart w:id="503" w:name="_Toc54953599"/>
      <w:bookmarkStart w:id="504" w:name="_Toc54953692"/>
      <w:bookmarkStart w:id="505" w:name="_Toc54953895"/>
      <w:bookmarkStart w:id="506" w:name="_Toc54955329"/>
      <w:bookmarkStart w:id="507" w:name="_Toc54955418"/>
      <w:bookmarkStart w:id="508" w:name="_Toc54955506"/>
      <w:bookmarkStart w:id="509" w:name="_Toc54955684"/>
      <w:bookmarkStart w:id="510" w:name="_Toc54955774"/>
      <w:bookmarkStart w:id="511" w:name="_Toc54955861"/>
      <w:bookmarkStart w:id="512" w:name="_Toc54955948"/>
      <w:bookmarkStart w:id="513" w:name="_Toc54953142"/>
      <w:bookmarkStart w:id="514" w:name="_Toc54953485"/>
      <w:bookmarkStart w:id="515" w:name="_Toc54953600"/>
      <w:bookmarkStart w:id="516" w:name="_Toc54953693"/>
      <w:bookmarkStart w:id="517" w:name="_Toc54953896"/>
      <w:bookmarkStart w:id="518" w:name="_Toc54955330"/>
      <w:bookmarkStart w:id="519" w:name="_Toc54955419"/>
      <w:bookmarkStart w:id="520" w:name="_Toc54955507"/>
      <w:bookmarkStart w:id="521" w:name="_Toc54955685"/>
      <w:bookmarkStart w:id="522" w:name="_Toc54955775"/>
      <w:bookmarkStart w:id="523" w:name="_Toc54955862"/>
      <w:bookmarkStart w:id="524" w:name="_Toc54955949"/>
      <w:bookmarkStart w:id="525" w:name="_Toc54953143"/>
      <w:bookmarkStart w:id="526" w:name="_Toc54953486"/>
      <w:bookmarkStart w:id="527" w:name="_Toc54953601"/>
      <w:bookmarkStart w:id="528" w:name="_Toc54953694"/>
      <w:bookmarkStart w:id="529" w:name="_Toc54953897"/>
      <w:bookmarkStart w:id="530" w:name="_Toc54955331"/>
      <w:bookmarkStart w:id="531" w:name="_Toc54955420"/>
      <w:bookmarkStart w:id="532" w:name="_Toc54955508"/>
      <w:bookmarkStart w:id="533" w:name="_Toc54955686"/>
      <w:bookmarkStart w:id="534" w:name="_Toc54955776"/>
      <w:bookmarkStart w:id="535" w:name="_Toc54955863"/>
      <w:bookmarkStart w:id="536" w:name="_Toc54955950"/>
      <w:bookmarkStart w:id="537" w:name="_Toc54953144"/>
      <w:bookmarkStart w:id="538" w:name="_Toc54953487"/>
      <w:bookmarkStart w:id="539" w:name="_Toc54953602"/>
      <w:bookmarkStart w:id="540" w:name="_Toc54953695"/>
      <w:bookmarkStart w:id="541" w:name="_Toc54953898"/>
      <w:bookmarkStart w:id="542" w:name="_Toc54955332"/>
      <w:bookmarkStart w:id="543" w:name="_Toc54955421"/>
      <w:bookmarkStart w:id="544" w:name="_Toc54955509"/>
      <w:bookmarkStart w:id="545" w:name="_Toc54955687"/>
      <w:bookmarkStart w:id="546" w:name="_Toc54955777"/>
      <w:bookmarkStart w:id="547" w:name="_Toc54955864"/>
      <w:bookmarkStart w:id="548" w:name="_Toc54955951"/>
      <w:bookmarkStart w:id="549" w:name="_Toc54953145"/>
      <w:bookmarkStart w:id="550" w:name="_Toc54953488"/>
      <w:bookmarkStart w:id="551" w:name="_Toc54953603"/>
      <w:bookmarkStart w:id="552" w:name="_Toc54953696"/>
      <w:bookmarkStart w:id="553" w:name="_Toc54953899"/>
      <w:bookmarkStart w:id="554" w:name="_Toc54955333"/>
      <w:bookmarkStart w:id="555" w:name="_Toc54955422"/>
      <w:bookmarkStart w:id="556" w:name="_Toc54955510"/>
      <w:bookmarkStart w:id="557" w:name="_Toc54955688"/>
      <w:bookmarkStart w:id="558" w:name="_Toc54955778"/>
      <w:bookmarkStart w:id="559" w:name="_Toc54955865"/>
      <w:bookmarkStart w:id="560" w:name="_Toc54955952"/>
      <w:bookmarkStart w:id="561" w:name="_Toc54953146"/>
      <w:bookmarkStart w:id="562" w:name="_Toc54953489"/>
      <w:bookmarkStart w:id="563" w:name="_Toc54953604"/>
      <w:bookmarkStart w:id="564" w:name="_Toc54953697"/>
      <w:bookmarkStart w:id="565" w:name="_Toc54953900"/>
      <w:bookmarkStart w:id="566" w:name="_Toc54955334"/>
      <w:bookmarkStart w:id="567" w:name="_Toc54955423"/>
      <w:bookmarkStart w:id="568" w:name="_Toc54955511"/>
      <w:bookmarkStart w:id="569" w:name="_Toc54955689"/>
      <w:bookmarkStart w:id="570" w:name="_Toc54955779"/>
      <w:bookmarkStart w:id="571" w:name="_Toc54955866"/>
      <w:bookmarkStart w:id="572" w:name="_Toc54955953"/>
      <w:bookmarkStart w:id="573" w:name="_Toc54953147"/>
      <w:bookmarkStart w:id="574" w:name="_Toc54953490"/>
      <w:bookmarkStart w:id="575" w:name="_Toc54953605"/>
      <w:bookmarkStart w:id="576" w:name="_Toc54953698"/>
      <w:bookmarkStart w:id="577" w:name="_Toc54953901"/>
      <w:bookmarkStart w:id="578" w:name="_Toc54955335"/>
      <w:bookmarkStart w:id="579" w:name="_Toc54955424"/>
      <w:bookmarkStart w:id="580" w:name="_Toc54955512"/>
      <w:bookmarkStart w:id="581" w:name="_Toc54955690"/>
      <w:bookmarkStart w:id="582" w:name="_Toc54955780"/>
      <w:bookmarkStart w:id="583" w:name="_Toc54955867"/>
      <w:bookmarkStart w:id="584" w:name="_Toc54955954"/>
      <w:bookmarkStart w:id="585" w:name="_Toc54953148"/>
      <w:bookmarkStart w:id="586" w:name="_Toc54953491"/>
      <w:bookmarkStart w:id="587" w:name="_Toc54953606"/>
      <w:bookmarkStart w:id="588" w:name="_Toc54953699"/>
      <w:bookmarkStart w:id="589" w:name="_Toc54953902"/>
      <w:bookmarkStart w:id="590" w:name="_Toc54955336"/>
      <w:bookmarkStart w:id="591" w:name="_Toc54955425"/>
      <w:bookmarkStart w:id="592" w:name="_Toc54955513"/>
      <w:bookmarkStart w:id="593" w:name="_Toc54955691"/>
      <w:bookmarkStart w:id="594" w:name="_Toc54955781"/>
      <w:bookmarkStart w:id="595" w:name="_Toc54955868"/>
      <w:bookmarkStart w:id="596" w:name="_Toc54955955"/>
      <w:bookmarkStart w:id="597" w:name="_Toc54953149"/>
      <w:bookmarkStart w:id="598" w:name="_Toc54953492"/>
      <w:bookmarkStart w:id="599" w:name="_Toc54953607"/>
      <w:bookmarkStart w:id="600" w:name="_Toc54953700"/>
      <w:bookmarkStart w:id="601" w:name="_Toc54953903"/>
      <w:bookmarkStart w:id="602" w:name="_Toc54955337"/>
      <w:bookmarkStart w:id="603" w:name="_Toc54955426"/>
      <w:bookmarkStart w:id="604" w:name="_Toc54955514"/>
      <w:bookmarkStart w:id="605" w:name="_Toc54955692"/>
      <w:bookmarkStart w:id="606" w:name="_Toc54955782"/>
      <w:bookmarkStart w:id="607" w:name="_Toc54955869"/>
      <w:bookmarkStart w:id="608" w:name="_Toc54955956"/>
      <w:bookmarkStart w:id="609" w:name="_Toc54953150"/>
      <w:bookmarkStart w:id="610" w:name="_Toc54953493"/>
      <w:bookmarkStart w:id="611" w:name="_Toc54953608"/>
      <w:bookmarkStart w:id="612" w:name="_Toc54953701"/>
      <w:bookmarkStart w:id="613" w:name="_Toc54953904"/>
      <w:bookmarkStart w:id="614" w:name="_Toc54955338"/>
      <w:bookmarkStart w:id="615" w:name="_Toc54955427"/>
      <w:bookmarkStart w:id="616" w:name="_Toc54955515"/>
      <w:bookmarkStart w:id="617" w:name="_Toc54955693"/>
      <w:bookmarkStart w:id="618" w:name="_Toc54955783"/>
      <w:bookmarkStart w:id="619" w:name="_Toc54955870"/>
      <w:bookmarkStart w:id="620" w:name="_Toc54955957"/>
      <w:bookmarkStart w:id="621" w:name="_Toc54953151"/>
      <w:bookmarkStart w:id="622" w:name="_Toc54953494"/>
      <w:bookmarkStart w:id="623" w:name="_Toc54953609"/>
      <w:bookmarkStart w:id="624" w:name="_Toc54953702"/>
      <w:bookmarkStart w:id="625" w:name="_Toc54953905"/>
      <w:bookmarkStart w:id="626" w:name="_Toc54955339"/>
      <w:bookmarkStart w:id="627" w:name="_Toc54955428"/>
      <w:bookmarkStart w:id="628" w:name="_Toc54955516"/>
      <w:bookmarkStart w:id="629" w:name="_Toc54955694"/>
      <w:bookmarkStart w:id="630" w:name="_Toc54955784"/>
      <w:bookmarkStart w:id="631" w:name="_Toc54955871"/>
      <w:bookmarkStart w:id="632" w:name="_Toc54955958"/>
      <w:bookmarkStart w:id="633" w:name="_Toc54953152"/>
      <w:bookmarkStart w:id="634" w:name="_Toc54953495"/>
      <w:bookmarkStart w:id="635" w:name="_Toc54953610"/>
      <w:bookmarkStart w:id="636" w:name="_Toc54953703"/>
      <w:bookmarkStart w:id="637" w:name="_Toc54953906"/>
      <w:bookmarkStart w:id="638" w:name="_Toc54955340"/>
      <w:bookmarkStart w:id="639" w:name="_Toc54955429"/>
      <w:bookmarkStart w:id="640" w:name="_Toc54955517"/>
      <w:bookmarkStart w:id="641" w:name="_Toc54955695"/>
      <w:bookmarkStart w:id="642" w:name="_Toc54955785"/>
      <w:bookmarkStart w:id="643" w:name="_Toc54955872"/>
      <w:bookmarkStart w:id="644" w:name="_Toc54955959"/>
      <w:bookmarkStart w:id="645" w:name="_Toc54953153"/>
      <w:bookmarkStart w:id="646" w:name="_Toc54953496"/>
      <w:bookmarkStart w:id="647" w:name="_Toc54953611"/>
      <w:bookmarkStart w:id="648" w:name="_Toc54953704"/>
      <w:bookmarkStart w:id="649" w:name="_Toc54953907"/>
      <w:bookmarkStart w:id="650" w:name="_Toc54955341"/>
      <w:bookmarkStart w:id="651" w:name="_Toc54955430"/>
      <w:bookmarkStart w:id="652" w:name="_Toc54955518"/>
      <w:bookmarkStart w:id="653" w:name="_Toc54955696"/>
      <w:bookmarkStart w:id="654" w:name="_Toc54955786"/>
      <w:bookmarkStart w:id="655" w:name="_Toc54955873"/>
      <w:bookmarkStart w:id="656" w:name="_Toc54955960"/>
      <w:bookmarkStart w:id="657" w:name="_Toc54953154"/>
      <w:bookmarkStart w:id="658" w:name="_Toc54953497"/>
      <w:bookmarkStart w:id="659" w:name="_Toc54953612"/>
      <w:bookmarkStart w:id="660" w:name="_Toc54953705"/>
      <w:bookmarkStart w:id="661" w:name="_Toc54953908"/>
      <w:bookmarkStart w:id="662" w:name="_Toc54955342"/>
      <w:bookmarkStart w:id="663" w:name="_Toc54955431"/>
      <w:bookmarkStart w:id="664" w:name="_Toc54955519"/>
      <w:bookmarkStart w:id="665" w:name="_Toc54955697"/>
      <w:bookmarkStart w:id="666" w:name="_Toc54955787"/>
      <w:bookmarkStart w:id="667" w:name="_Toc54955874"/>
      <w:bookmarkStart w:id="668" w:name="_Toc54955961"/>
      <w:bookmarkStart w:id="669" w:name="_Toc54953155"/>
      <w:bookmarkStart w:id="670" w:name="_Toc54953498"/>
      <w:bookmarkStart w:id="671" w:name="_Toc54953613"/>
      <w:bookmarkStart w:id="672" w:name="_Toc54953706"/>
      <w:bookmarkStart w:id="673" w:name="_Toc54953909"/>
      <w:bookmarkStart w:id="674" w:name="_Toc54955343"/>
      <w:bookmarkStart w:id="675" w:name="_Toc54955432"/>
      <w:bookmarkStart w:id="676" w:name="_Toc54955520"/>
      <w:bookmarkStart w:id="677" w:name="_Toc54955698"/>
      <w:bookmarkStart w:id="678" w:name="_Toc54955788"/>
      <w:bookmarkStart w:id="679" w:name="_Toc54955875"/>
      <w:bookmarkStart w:id="680" w:name="_Toc54955962"/>
      <w:bookmarkStart w:id="681" w:name="_Toc54953156"/>
      <w:bookmarkStart w:id="682" w:name="_Toc54953499"/>
      <w:bookmarkStart w:id="683" w:name="_Toc54953614"/>
      <w:bookmarkStart w:id="684" w:name="_Toc54953707"/>
      <w:bookmarkStart w:id="685" w:name="_Toc54953910"/>
      <w:bookmarkStart w:id="686" w:name="_Toc54955344"/>
      <w:bookmarkStart w:id="687" w:name="_Toc54955433"/>
      <w:bookmarkStart w:id="688" w:name="_Toc54955521"/>
      <w:bookmarkStart w:id="689" w:name="_Toc54955699"/>
      <w:bookmarkStart w:id="690" w:name="_Toc54955789"/>
      <w:bookmarkStart w:id="691" w:name="_Toc54955876"/>
      <w:bookmarkStart w:id="692" w:name="_Toc54955963"/>
      <w:bookmarkStart w:id="693" w:name="_Toc54953157"/>
      <w:bookmarkStart w:id="694" w:name="_Toc54953500"/>
      <w:bookmarkStart w:id="695" w:name="_Toc54953615"/>
      <w:bookmarkStart w:id="696" w:name="_Toc54953708"/>
      <w:bookmarkStart w:id="697" w:name="_Toc54953911"/>
      <w:bookmarkStart w:id="698" w:name="_Toc54955345"/>
      <w:bookmarkStart w:id="699" w:name="_Toc54955434"/>
      <w:bookmarkStart w:id="700" w:name="_Toc54955522"/>
      <w:bookmarkStart w:id="701" w:name="_Toc54955700"/>
      <w:bookmarkStart w:id="702" w:name="_Toc54955790"/>
      <w:bookmarkStart w:id="703" w:name="_Toc54955877"/>
      <w:bookmarkStart w:id="704" w:name="_Toc54955964"/>
      <w:bookmarkStart w:id="705" w:name="_Toc54953158"/>
      <w:bookmarkStart w:id="706" w:name="_Toc54953501"/>
      <w:bookmarkStart w:id="707" w:name="_Toc54953616"/>
      <w:bookmarkStart w:id="708" w:name="_Toc54953709"/>
      <w:bookmarkStart w:id="709" w:name="_Toc54953912"/>
      <w:bookmarkStart w:id="710" w:name="_Toc54955346"/>
      <w:bookmarkStart w:id="711" w:name="_Toc54955435"/>
      <w:bookmarkStart w:id="712" w:name="_Toc54955523"/>
      <w:bookmarkStart w:id="713" w:name="_Toc54955701"/>
      <w:bookmarkStart w:id="714" w:name="_Toc54955791"/>
      <w:bookmarkStart w:id="715" w:name="_Toc54955878"/>
      <w:bookmarkStart w:id="716" w:name="_Toc54955965"/>
      <w:bookmarkStart w:id="717" w:name="_Toc54953159"/>
      <w:bookmarkStart w:id="718" w:name="_Toc54953502"/>
      <w:bookmarkStart w:id="719" w:name="_Toc54953617"/>
      <w:bookmarkStart w:id="720" w:name="_Toc54953710"/>
      <w:bookmarkStart w:id="721" w:name="_Toc54953913"/>
      <w:bookmarkStart w:id="722" w:name="_Toc54955347"/>
      <w:bookmarkStart w:id="723" w:name="_Toc54955436"/>
      <w:bookmarkStart w:id="724" w:name="_Toc54955524"/>
      <w:bookmarkStart w:id="725" w:name="_Toc54955702"/>
      <w:bookmarkStart w:id="726" w:name="_Toc54955792"/>
      <w:bookmarkStart w:id="727" w:name="_Toc54955879"/>
      <w:bookmarkStart w:id="728" w:name="_Toc54955966"/>
      <w:bookmarkStart w:id="729" w:name="_Toc54953160"/>
      <w:bookmarkStart w:id="730" w:name="_Toc54953503"/>
      <w:bookmarkStart w:id="731" w:name="_Toc54953618"/>
      <w:bookmarkStart w:id="732" w:name="_Toc54953711"/>
      <w:bookmarkStart w:id="733" w:name="_Toc54953914"/>
      <w:bookmarkStart w:id="734" w:name="_Toc54955348"/>
      <w:bookmarkStart w:id="735" w:name="_Toc54955437"/>
      <w:bookmarkStart w:id="736" w:name="_Toc54955525"/>
      <w:bookmarkStart w:id="737" w:name="_Toc54955703"/>
      <w:bookmarkStart w:id="738" w:name="_Toc54955793"/>
      <w:bookmarkStart w:id="739" w:name="_Toc54955880"/>
      <w:bookmarkStart w:id="740" w:name="_Toc54955967"/>
      <w:bookmarkStart w:id="741" w:name="_Toc54953161"/>
      <w:bookmarkStart w:id="742" w:name="_Toc54953504"/>
      <w:bookmarkStart w:id="743" w:name="_Toc54953619"/>
      <w:bookmarkStart w:id="744" w:name="_Toc54953712"/>
      <w:bookmarkStart w:id="745" w:name="_Toc54953915"/>
      <w:bookmarkStart w:id="746" w:name="_Toc54955349"/>
      <w:bookmarkStart w:id="747" w:name="_Toc54955438"/>
      <w:bookmarkStart w:id="748" w:name="_Toc54955526"/>
      <w:bookmarkStart w:id="749" w:name="_Toc54955704"/>
      <w:bookmarkStart w:id="750" w:name="_Toc54955794"/>
      <w:bookmarkStart w:id="751" w:name="_Toc54955881"/>
      <w:bookmarkStart w:id="752" w:name="_Toc54955968"/>
      <w:bookmarkStart w:id="753" w:name="_Toc54953162"/>
      <w:bookmarkStart w:id="754" w:name="_Toc54953505"/>
      <w:bookmarkStart w:id="755" w:name="_Toc54953620"/>
      <w:bookmarkStart w:id="756" w:name="_Toc54953713"/>
      <w:bookmarkStart w:id="757" w:name="_Toc54953916"/>
      <w:bookmarkStart w:id="758" w:name="_Toc54955350"/>
      <w:bookmarkStart w:id="759" w:name="_Toc54955439"/>
      <w:bookmarkStart w:id="760" w:name="_Toc54955527"/>
      <w:bookmarkStart w:id="761" w:name="_Toc54955705"/>
      <w:bookmarkStart w:id="762" w:name="_Toc54955795"/>
      <w:bookmarkStart w:id="763" w:name="_Toc54955882"/>
      <w:bookmarkStart w:id="764" w:name="_Toc54955969"/>
      <w:bookmarkStart w:id="765" w:name="_Toc54953163"/>
      <w:bookmarkStart w:id="766" w:name="_Toc54953506"/>
      <w:bookmarkStart w:id="767" w:name="_Toc54953621"/>
      <w:bookmarkStart w:id="768" w:name="_Toc54953714"/>
      <w:bookmarkStart w:id="769" w:name="_Toc54953917"/>
      <w:bookmarkStart w:id="770" w:name="_Toc54955351"/>
      <w:bookmarkStart w:id="771" w:name="_Toc54955440"/>
      <w:bookmarkStart w:id="772" w:name="_Toc54955528"/>
      <w:bookmarkStart w:id="773" w:name="_Toc54955706"/>
      <w:bookmarkStart w:id="774" w:name="_Toc54955796"/>
      <w:bookmarkStart w:id="775" w:name="_Toc54955883"/>
      <w:bookmarkStart w:id="776" w:name="_Toc54955970"/>
      <w:bookmarkStart w:id="777" w:name="_Toc54953164"/>
      <w:bookmarkStart w:id="778" w:name="_Toc54953507"/>
      <w:bookmarkStart w:id="779" w:name="_Toc54953622"/>
      <w:bookmarkStart w:id="780" w:name="_Toc54953715"/>
      <w:bookmarkStart w:id="781" w:name="_Toc54953918"/>
      <w:bookmarkStart w:id="782" w:name="_Toc54955352"/>
      <w:bookmarkStart w:id="783" w:name="_Toc54955441"/>
      <w:bookmarkStart w:id="784" w:name="_Toc54955529"/>
      <w:bookmarkStart w:id="785" w:name="_Toc54955707"/>
      <w:bookmarkStart w:id="786" w:name="_Toc54955797"/>
      <w:bookmarkStart w:id="787" w:name="_Toc54955884"/>
      <w:bookmarkStart w:id="788" w:name="_Toc54955971"/>
      <w:bookmarkStart w:id="789" w:name="_Toc54953165"/>
      <w:bookmarkStart w:id="790" w:name="_Toc54953508"/>
      <w:bookmarkStart w:id="791" w:name="_Toc54953623"/>
      <w:bookmarkStart w:id="792" w:name="_Toc54953716"/>
      <w:bookmarkStart w:id="793" w:name="_Toc54953919"/>
      <w:bookmarkStart w:id="794" w:name="_Toc54955353"/>
      <w:bookmarkStart w:id="795" w:name="_Toc54955442"/>
      <w:bookmarkStart w:id="796" w:name="_Toc54955530"/>
      <w:bookmarkStart w:id="797" w:name="_Toc54955708"/>
      <w:bookmarkStart w:id="798" w:name="_Toc54955798"/>
      <w:bookmarkStart w:id="799" w:name="_Toc54955885"/>
      <w:bookmarkStart w:id="800" w:name="_Toc54955972"/>
      <w:bookmarkStart w:id="801" w:name="_Toc54953166"/>
      <w:bookmarkStart w:id="802" w:name="_Toc54953509"/>
      <w:bookmarkStart w:id="803" w:name="_Toc54953624"/>
      <w:bookmarkStart w:id="804" w:name="_Toc54953717"/>
      <w:bookmarkStart w:id="805" w:name="_Toc54953920"/>
      <w:bookmarkStart w:id="806" w:name="_Toc54955354"/>
      <w:bookmarkStart w:id="807" w:name="_Toc54955443"/>
      <w:bookmarkStart w:id="808" w:name="_Toc54955531"/>
      <w:bookmarkStart w:id="809" w:name="_Toc54955709"/>
      <w:bookmarkStart w:id="810" w:name="_Toc54955799"/>
      <w:bookmarkStart w:id="811" w:name="_Toc54955886"/>
      <w:bookmarkStart w:id="812" w:name="_Toc54955973"/>
      <w:bookmarkStart w:id="813" w:name="_Toc54953167"/>
      <w:bookmarkStart w:id="814" w:name="_Toc54953510"/>
      <w:bookmarkStart w:id="815" w:name="_Toc54953625"/>
      <w:bookmarkStart w:id="816" w:name="_Toc54953718"/>
      <w:bookmarkStart w:id="817" w:name="_Toc54953921"/>
      <w:bookmarkStart w:id="818" w:name="_Toc54955355"/>
      <w:bookmarkStart w:id="819" w:name="_Toc54955444"/>
      <w:bookmarkStart w:id="820" w:name="_Toc54955532"/>
      <w:bookmarkStart w:id="821" w:name="_Toc54955710"/>
      <w:bookmarkStart w:id="822" w:name="_Toc54955800"/>
      <w:bookmarkStart w:id="823" w:name="_Toc54955887"/>
      <w:bookmarkStart w:id="824" w:name="_Toc54955974"/>
      <w:bookmarkStart w:id="825" w:name="_Toc54953168"/>
      <w:bookmarkStart w:id="826" w:name="_Toc54953511"/>
      <w:bookmarkStart w:id="827" w:name="_Toc54953626"/>
      <w:bookmarkStart w:id="828" w:name="_Toc54953719"/>
      <w:bookmarkStart w:id="829" w:name="_Toc54953922"/>
      <w:bookmarkStart w:id="830" w:name="_Toc54955356"/>
      <w:bookmarkStart w:id="831" w:name="_Toc54955445"/>
      <w:bookmarkStart w:id="832" w:name="_Toc54955533"/>
      <w:bookmarkStart w:id="833" w:name="_Toc54955711"/>
      <w:bookmarkStart w:id="834" w:name="_Toc54955801"/>
      <w:bookmarkStart w:id="835" w:name="_Toc54955888"/>
      <w:bookmarkStart w:id="836" w:name="_Toc54955975"/>
      <w:bookmarkStart w:id="837" w:name="_Toc54953169"/>
      <w:bookmarkStart w:id="838" w:name="_Toc54953512"/>
      <w:bookmarkStart w:id="839" w:name="_Toc54953627"/>
      <w:bookmarkStart w:id="840" w:name="_Toc54953720"/>
      <w:bookmarkStart w:id="841" w:name="_Toc54953923"/>
      <w:bookmarkStart w:id="842" w:name="_Toc54955357"/>
      <w:bookmarkStart w:id="843" w:name="_Toc54955446"/>
      <w:bookmarkStart w:id="844" w:name="_Toc54955534"/>
      <w:bookmarkStart w:id="845" w:name="_Toc54955712"/>
      <w:bookmarkStart w:id="846" w:name="_Toc54955802"/>
      <w:bookmarkStart w:id="847" w:name="_Toc54955889"/>
      <w:bookmarkStart w:id="848" w:name="_Toc54955976"/>
      <w:bookmarkStart w:id="849" w:name="_Toc54953170"/>
      <w:bookmarkStart w:id="850" w:name="_Toc54953513"/>
      <w:bookmarkStart w:id="851" w:name="_Toc54953628"/>
      <w:bookmarkStart w:id="852" w:name="_Toc54953721"/>
      <w:bookmarkStart w:id="853" w:name="_Toc54953924"/>
      <w:bookmarkStart w:id="854" w:name="_Toc54955358"/>
      <w:bookmarkStart w:id="855" w:name="_Toc54955447"/>
      <w:bookmarkStart w:id="856" w:name="_Toc54955535"/>
      <w:bookmarkStart w:id="857" w:name="_Toc54955713"/>
      <w:bookmarkStart w:id="858" w:name="_Toc54955803"/>
      <w:bookmarkStart w:id="859" w:name="_Toc54955890"/>
      <w:bookmarkStart w:id="860" w:name="_Toc54955977"/>
      <w:bookmarkStart w:id="861" w:name="_Toc54953171"/>
      <w:bookmarkStart w:id="862" w:name="_Toc54953514"/>
      <w:bookmarkStart w:id="863" w:name="_Toc54953629"/>
      <w:bookmarkStart w:id="864" w:name="_Toc54953722"/>
      <w:bookmarkStart w:id="865" w:name="_Toc54953925"/>
      <w:bookmarkStart w:id="866" w:name="_Toc54955359"/>
      <w:bookmarkStart w:id="867" w:name="_Toc54955448"/>
      <w:bookmarkStart w:id="868" w:name="_Toc54955536"/>
      <w:bookmarkStart w:id="869" w:name="_Toc54955714"/>
      <w:bookmarkStart w:id="870" w:name="_Toc54955804"/>
      <w:bookmarkStart w:id="871" w:name="_Toc54955891"/>
      <w:bookmarkStart w:id="872" w:name="_Toc54955978"/>
      <w:bookmarkStart w:id="873" w:name="_Toc54953172"/>
      <w:bookmarkStart w:id="874" w:name="_Toc54953515"/>
      <w:bookmarkStart w:id="875" w:name="_Toc54953630"/>
      <w:bookmarkStart w:id="876" w:name="_Toc54953723"/>
      <w:bookmarkStart w:id="877" w:name="_Toc54953926"/>
      <w:bookmarkStart w:id="878" w:name="_Toc54955360"/>
      <w:bookmarkStart w:id="879" w:name="_Toc54955449"/>
      <w:bookmarkStart w:id="880" w:name="_Toc54955537"/>
      <w:bookmarkStart w:id="881" w:name="_Toc54955715"/>
      <w:bookmarkStart w:id="882" w:name="_Toc54955805"/>
      <w:bookmarkStart w:id="883" w:name="_Toc54955892"/>
      <w:bookmarkStart w:id="884" w:name="_Toc54955979"/>
      <w:bookmarkStart w:id="885" w:name="_Toc54953173"/>
      <w:bookmarkStart w:id="886" w:name="_Toc54953516"/>
      <w:bookmarkStart w:id="887" w:name="_Toc54953631"/>
      <w:bookmarkStart w:id="888" w:name="_Toc54953724"/>
      <w:bookmarkStart w:id="889" w:name="_Toc54953927"/>
      <w:bookmarkStart w:id="890" w:name="_Toc54955361"/>
      <w:bookmarkStart w:id="891" w:name="_Toc54955450"/>
      <w:bookmarkStart w:id="892" w:name="_Toc54955538"/>
      <w:bookmarkStart w:id="893" w:name="_Toc54955716"/>
      <w:bookmarkStart w:id="894" w:name="_Toc54955806"/>
      <w:bookmarkStart w:id="895" w:name="_Toc54955893"/>
      <w:bookmarkStart w:id="896" w:name="_Toc54955980"/>
      <w:bookmarkStart w:id="897" w:name="_Toc54953174"/>
      <w:bookmarkStart w:id="898" w:name="_Toc54953517"/>
      <w:bookmarkStart w:id="899" w:name="_Toc54953632"/>
      <w:bookmarkStart w:id="900" w:name="_Toc54953725"/>
      <w:bookmarkStart w:id="901" w:name="_Toc54953928"/>
      <w:bookmarkStart w:id="902" w:name="_Toc54955362"/>
      <w:bookmarkStart w:id="903" w:name="_Toc54955451"/>
      <w:bookmarkStart w:id="904" w:name="_Toc54955539"/>
      <w:bookmarkStart w:id="905" w:name="_Toc54955717"/>
      <w:bookmarkStart w:id="906" w:name="_Toc54955807"/>
      <w:bookmarkStart w:id="907" w:name="_Toc54955894"/>
      <w:bookmarkStart w:id="908" w:name="_Toc54955981"/>
      <w:bookmarkStart w:id="909" w:name="_Toc54953175"/>
      <w:bookmarkStart w:id="910" w:name="_Toc54953518"/>
      <w:bookmarkStart w:id="911" w:name="_Toc54953633"/>
      <w:bookmarkStart w:id="912" w:name="_Toc54953726"/>
      <w:bookmarkStart w:id="913" w:name="_Toc54953929"/>
      <w:bookmarkStart w:id="914" w:name="_Toc54955363"/>
      <w:bookmarkStart w:id="915" w:name="_Toc54955452"/>
      <w:bookmarkStart w:id="916" w:name="_Toc54955540"/>
      <w:bookmarkStart w:id="917" w:name="_Toc54955718"/>
      <w:bookmarkStart w:id="918" w:name="_Toc54955808"/>
      <w:bookmarkStart w:id="919" w:name="_Toc54955895"/>
      <w:bookmarkStart w:id="920" w:name="_Toc54955982"/>
      <w:bookmarkStart w:id="921" w:name="_Toc54953176"/>
      <w:bookmarkStart w:id="922" w:name="_Toc54953519"/>
      <w:bookmarkStart w:id="923" w:name="_Toc54953634"/>
      <w:bookmarkStart w:id="924" w:name="_Toc54953727"/>
      <w:bookmarkStart w:id="925" w:name="_Toc54953930"/>
      <w:bookmarkStart w:id="926" w:name="_Toc54955364"/>
      <w:bookmarkStart w:id="927" w:name="_Toc54955453"/>
      <w:bookmarkStart w:id="928" w:name="_Toc54955541"/>
      <w:bookmarkStart w:id="929" w:name="_Toc54955719"/>
      <w:bookmarkStart w:id="930" w:name="_Toc54955809"/>
      <w:bookmarkStart w:id="931" w:name="_Toc54955896"/>
      <w:bookmarkStart w:id="932" w:name="_Toc54955983"/>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rsidRPr="001456A0">
        <w:rPr>
          <w:lang w:val="en-US"/>
        </w:rPr>
        <w:t>The traceability is a basic requirement in quality assurance of measurements.</w:t>
      </w:r>
      <w:r w:rsidR="00074E73" w:rsidRPr="001456A0">
        <w:rPr>
          <w:lang w:val="en-GB"/>
        </w:rPr>
        <w:t xml:space="preserve"> </w:t>
      </w:r>
    </w:p>
    <w:p w14:paraId="30FA399E" w14:textId="2A8F1CBA" w:rsidR="00074E73" w:rsidRPr="001456A0" w:rsidRDefault="00074E73" w:rsidP="00EA647D">
      <w:pPr>
        <w:jc w:val="both"/>
        <w:rPr>
          <w:lang w:val="en-GB"/>
        </w:rPr>
      </w:pPr>
      <w:r w:rsidRPr="001456A0">
        <w:rPr>
          <w:lang w:val="en-GB"/>
        </w:rPr>
        <w:t>As an output of the two intercomparison exercises</w:t>
      </w:r>
      <w:r w:rsidR="002E3CA0">
        <w:rPr>
          <w:lang w:val="en-GB"/>
        </w:rPr>
        <w:t xml:space="preserve"> performed within the MetroRADON project</w:t>
      </w:r>
      <w:r w:rsidRPr="001456A0">
        <w:rPr>
          <w:lang w:val="en-GB"/>
        </w:rPr>
        <w:t xml:space="preserve"> the following documents were created</w:t>
      </w:r>
      <w:r w:rsidR="0053117A">
        <w:rPr>
          <w:lang w:val="en-GB"/>
        </w:rPr>
        <w:t xml:space="preserve">, </w:t>
      </w:r>
      <w:r w:rsidR="0053117A" w:rsidRPr="0053117A">
        <w:rPr>
          <w:lang w:val="en-GB"/>
        </w:rPr>
        <w:t xml:space="preserve">available on MetroRADON </w:t>
      </w:r>
      <w:r w:rsidR="0053117A">
        <w:rPr>
          <w:lang w:val="en-GB"/>
        </w:rPr>
        <w:t>website (http://metroradon.eu/)</w:t>
      </w:r>
      <w:r w:rsidRPr="001456A0">
        <w:rPr>
          <w:lang w:val="en-GB"/>
        </w:rPr>
        <w:t>:</w:t>
      </w:r>
    </w:p>
    <w:p w14:paraId="0A814109" w14:textId="12E53977" w:rsidR="00074E73" w:rsidRPr="00EA647D" w:rsidRDefault="002E3CA0" w:rsidP="00EA647D">
      <w:pPr>
        <w:pStyle w:val="ListParagraph"/>
        <w:numPr>
          <w:ilvl w:val="0"/>
          <w:numId w:val="28"/>
        </w:numPr>
        <w:jc w:val="both"/>
        <w:rPr>
          <w:lang w:val="en-US"/>
        </w:rPr>
      </w:pPr>
      <w:r>
        <w:rPr>
          <w:lang w:val="en-US"/>
        </w:rPr>
        <w:t>Deliverable D7 :</w:t>
      </w:r>
      <w:r w:rsidR="00074E73" w:rsidRPr="00EA647D">
        <w:rPr>
          <w:lang w:val="en-US"/>
        </w:rPr>
        <w:t>Validation report on the traceability of primary and secondary radon calibration facilities in Europe,</w:t>
      </w:r>
    </w:p>
    <w:p w14:paraId="1BA8B98F" w14:textId="7F0ED272" w:rsidR="00074E73" w:rsidRPr="00EA647D" w:rsidRDefault="002E3CA0" w:rsidP="00EA647D">
      <w:pPr>
        <w:pStyle w:val="ListParagraph"/>
        <w:numPr>
          <w:ilvl w:val="0"/>
          <w:numId w:val="28"/>
        </w:numPr>
        <w:jc w:val="both"/>
        <w:rPr>
          <w:lang w:val="en-US"/>
        </w:rPr>
      </w:pPr>
      <w:r>
        <w:rPr>
          <w:lang w:val="en-US"/>
        </w:rPr>
        <w:t xml:space="preserve">Deiverable D8: </w:t>
      </w:r>
      <w:r w:rsidR="00074E73" w:rsidRPr="00EA647D">
        <w:rPr>
          <w:lang w:val="en-US"/>
        </w:rPr>
        <w:t>Guideline and recommendations on calibration and measurement procedures for the determination of radon concentration in air.</w:t>
      </w:r>
    </w:p>
    <w:p w14:paraId="32E35AC6" w14:textId="4F4DD633" w:rsidR="00074E73" w:rsidRPr="001456A0" w:rsidRDefault="00074E73" w:rsidP="00EA647D">
      <w:pPr>
        <w:jc w:val="both"/>
        <w:rPr>
          <w:lang w:val="en-US"/>
        </w:rPr>
      </w:pPr>
      <w:r w:rsidRPr="001456A0">
        <w:rPr>
          <w:lang w:val="en-GB"/>
        </w:rPr>
        <w:t>The document “</w:t>
      </w:r>
      <w:r w:rsidRPr="001456A0">
        <w:rPr>
          <w:lang w:val="en-US"/>
        </w:rPr>
        <w:t>Validation report on the traceability of primary and secondary radon calibration facilities in Europe</w:t>
      </w:r>
      <w:r w:rsidRPr="001456A0">
        <w:rPr>
          <w:lang w:val="en-GB"/>
        </w:rPr>
        <w:t xml:space="preserve">” provides results from the validation of the traceability of European radon calibration facilities at stable radon atmosphere in the range from 100 </w:t>
      </w:r>
      <w:r w:rsidRPr="001456A0">
        <w:rPr>
          <w:lang w:val="en-US"/>
        </w:rPr>
        <w:t>Bq</w:t>
      </w:r>
      <w:r w:rsidR="0046032C">
        <w:rPr>
          <w:lang w:val="en-US"/>
        </w:rPr>
        <w:t>/</w:t>
      </w:r>
      <w:r w:rsidRPr="001456A0">
        <w:rPr>
          <w:lang w:val="en-US"/>
        </w:rPr>
        <w:t>m</w:t>
      </w:r>
      <w:r w:rsidRPr="001456A0">
        <w:rPr>
          <w:vertAlign w:val="superscript"/>
          <w:lang w:val="en-US"/>
        </w:rPr>
        <w:t>3</w:t>
      </w:r>
      <w:r w:rsidRPr="001456A0">
        <w:rPr>
          <w:lang w:val="en-US"/>
        </w:rPr>
        <w:t xml:space="preserve"> to 300 Bq</w:t>
      </w:r>
      <w:r w:rsidR="0046032C">
        <w:rPr>
          <w:lang w:val="en-US"/>
        </w:rPr>
        <w:t>/</w:t>
      </w:r>
      <w:r w:rsidRPr="001456A0">
        <w:rPr>
          <w:lang w:val="en-US"/>
        </w:rPr>
        <w:t>m</w:t>
      </w:r>
      <w:r w:rsidRPr="001456A0">
        <w:rPr>
          <w:vertAlign w:val="superscript"/>
          <w:lang w:val="en-US"/>
        </w:rPr>
        <w:t>3</w:t>
      </w:r>
      <w:r w:rsidRPr="001456A0">
        <w:rPr>
          <w:lang w:val="en-US"/>
        </w:rPr>
        <w:t xml:space="preserve"> </w:t>
      </w:r>
      <w:r w:rsidR="007020A5">
        <w:rPr>
          <w:lang w:val="en-US"/>
        </w:rPr>
        <w:t>(first in</w:t>
      </w:r>
      <w:r w:rsidR="0053117A">
        <w:rPr>
          <w:lang w:val="en-US"/>
        </w:rPr>
        <w:t>t</w:t>
      </w:r>
      <w:r w:rsidR="007020A5">
        <w:rPr>
          <w:lang w:val="en-US"/>
        </w:rPr>
        <w:t xml:space="preserve">ercomparison) </w:t>
      </w:r>
      <w:r w:rsidRPr="001456A0">
        <w:rPr>
          <w:lang w:val="en-US"/>
        </w:rPr>
        <w:t>and in the range from 300 Bq</w:t>
      </w:r>
      <w:r w:rsidR="0046032C">
        <w:rPr>
          <w:lang w:val="en-US"/>
        </w:rPr>
        <w:t>/</w:t>
      </w:r>
      <w:r w:rsidRPr="001456A0">
        <w:rPr>
          <w:lang w:val="en-US"/>
        </w:rPr>
        <w:t>m</w:t>
      </w:r>
      <w:r w:rsidRPr="001456A0">
        <w:rPr>
          <w:vertAlign w:val="superscript"/>
          <w:lang w:val="en-US"/>
        </w:rPr>
        <w:t>3</w:t>
      </w:r>
      <w:r w:rsidRPr="001456A0">
        <w:rPr>
          <w:lang w:val="en-US"/>
        </w:rPr>
        <w:t xml:space="preserve"> to 10000 Bq</w:t>
      </w:r>
      <w:r w:rsidR="0046032C">
        <w:rPr>
          <w:lang w:val="en-US"/>
        </w:rPr>
        <w:t>/</w:t>
      </w:r>
      <w:r w:rsidRPr="001456A0">
        <w:rPr>
          <w:lang w:val="en-US"/>
        </w:rPr>
        <w:t>m</w:t>
      </w:r>
      <w:r w:rsidRPr="001456A0">
        <w:rPr>
          <w:vertAlign w:val="superscript"/>
          <w:lang w:val="en-US"/>
        </w:rPr>
        <w:t>3</w:t>
      </w:r>
      <w:r w:rsidRPr="001456A0">
        <w:rPr>
          <w:lang w:val="en-US"/>
        </w:rPr>
        <w:t xml:space="preserve"> </w:t>
      </w:r>
      <w:r w:rsidR="007020A5">
        <w:rPr>
          <w:lang w:val="en-US"/>
        </w:rPr>
        <w:t xml:space="preserve">(second intercomparison) </w:t>
      </w:r>
      <w:r w:rsidRPr="001456A0">
        <w:rPr>
          <w:lang w:val="en-US"/>
        </w:rPr>
        <w:t>conducted in the framework of the MetroRADON project.</w:t>
      </w:r>
    </w:p>
    <w:p w14:paraId="571E1DC4" w14:textId="19EA2F7D" w:rsidR="00074E73" w:rsidRPr="001456A0" w:rsidRDefault="00074E73" w:rsidP="00EA647D">
      <w:pPr>
        <w:jc w:val="both"/>
        <w:rPr>
          <w:lang w:val="en-US"/>
        </w:rPr>
      </w:pPr>
      <w:r w:rsidRPr="001456A0">
        <w:rPr>
          <w:lang w:val="en-GB"/>
        </w:rPr>
        <w:lastRenderedPageBreak/>
        <w:t>The document “</w:t>
      </w:r>
      <w:r w:rsidRPr="001456A0">
        <w:rPr>
          <w:lang w:val="en-US"/>
        </w:rPr>
        <w:t>Guideline and recommendations on calibration and measurement procedures for the determination of radon concentration in air</w:t>
      </w:r>
      <w:r w:rsidRPr="001456A0">
        <w:rPr>
          <w:lang w:val="en-GB"/>
        </w:rPr>
        <w:t>” summarizes recommendations on calibrations in the determination of radon concentration in air based on the intercomparisons of the selected European radon calibration facilities in the ranges</w:t>
      </w:r>
      <w:r w:rsidRPr="001456A0">
        <w:rPr>
          <w:lang w:val="en-US"/>
        </w:rPr>
        <w:t xml:space="preserve"> </w:t>
      </w:r>
      <w:r w:rsidRPr="001456A0">
        <w:rPr>
          <w:lang w:val="en-GB"/>
        </w:rPr>
        <w:t>between 100</w:t>
      </w:r>
      <w:r w:rsidR="00C17D57">
        <w:rPr>
          <w:lang w:val="en-GB"/>
        </w:rPr>
        <w:t> </w:t>
      </w:r>
      <w:r w:rsidR="00C17D57" w:rsidRPr="001456A0">
        <w:rPr>
          <w:lang w:val="en-GB"/>
        </w:rPr>
        <w:t>Bq</w:t>
      </w:r>
      <w:r w:rsidR="00C17D57">
        <w:rPr>
          <w:lang w:val="en-GB"/>
        </w:rPr>
        <w:t>/</w:t>
      </w:r>
      <w:r w:rsidR="00C17D57" w:rsidRPr="001456A0">
        <w:rPr>
          <w:lang w:val="en-GB"/>
        </w:rPr>
        <w:t>m</w:t>
      </w:r>
      <w:r w:rsidR="00C17D57" w:rsidRPr="001456A0">
        <w:rPr>
          <w:vertAlign w:val="superscript"/>
          <w:lang w:val="en-GB"/>
        </w:rPr>
        <w:t>3</w:t>
      </w:r>
      <w:r w:rsidR="00C17D57" w:rsidRPr="001456A0">
        <w:rPr>
          <w:lang w:val="en-GB"/>
        </w:rPr>
        <w:t xml:space="preserve"> </w:t>
      </w:r>
      <w:r w:rsidR="00C17D57">
        <w:rPr>
          <w:lang w:val="en-GB"/>
        </w:rPr>
        <w:t> </w:t>
      </w:r>
      <w:r w:rsidRPr="001456A0">
        <w:rPr>
          <w:lang w:val="en-GB"/>
        </w:rPr>
        <w:t>-</w:t>
      </w:r>
      <w:r w:rsidR="00C17D57">
        <w:rPr>
          <w:lang w:val="en-GB"/>
        </w:rPr>
        <w:t> </w:t>
      </w:r>
      <w:r w:rsidRPr="001456A0">
        <w:rPr>
          <w:lang w:val="en-GB"/>
        </w:rPr>
        <w:t>300 Bq</w:t>
      </w:r>
      <w:r w:rsidR="0046032C">
        <w:rPr>
          <w:lang w:val="en-GB"/>
        </w:rPr>
        <w:t>/</w:t>
      </w:r>
      <w:r w:rsidRPr="001456A0">
        <w:rPr>
          <w:lang w:val="en-GB"/>
        </w:rPr>
        <w:t>m</w:t>
      </w:r>
      <w:r w:rsidRPr="001456A0">
        <w:rPr>
          <w:vertAlign w:val="superscript"/>
          <w:lang w:val="en-GB"/>
        </w:rPr>
        <w:t>3</w:t>
      </w:r>
      <w:r w:rsidRPr="001456A0">
        <w:rPr>
          <w:lang w:val="en-GB"/>
        </w:rPr>
        <w:t xml:space="preserve"> and 300</w:t>
      </w:r>
      <w:r w:rsidR="00C17D57">
        <w:rPr>
          <w:lang w:val="en-GB"/>
        </w:rPr>
        <w:t> </w:t>
      </w:r>
      <w:r w:rsidR="00C17D57" w:rsidRPr="001456A0">
        <w:rPr>
          <w:lang w:val="en-GB"/>
        </w:rPr>
        <w:t>Bq</w:t>
      </w:r>
      <w:r w:rsidR="00C17D57">
        <w:rPr>
          <w:lang w:val="en-GB"/>
        </w:rPr>
        <w:t>/</w:t>
      </w:r>
      <w:r w:rsidR="00C17D57" w:rsidRPr="001456A0">
        <w:rPr>
          <w:lang w:val="en-GB"/>
        </w:rPr>
        <w:t>m</w:t>
      </w:r>
      <w:r w:rsidR="00C17D57" w:rsidRPr="001456A0">
        <w:rPr>
          <w:vertAlign w:val="superscript"/>
          <w:lang w:val="en-GB"/>
        </w:rPr>
        <w:t>3</w:t>
      </w:r>
      <w:r w:rsidR="00C17D57" w:rsidRPr="001456A0">
        <w:rPr>
          <w:lang w:val="en-GB"/>
        </w:rPr>
        <w:t xml:space="preserve"> </w:t>
      </w:r>
      <w:r w:rsidR="00C17D57">
        <w:rPr>
          <w:lang w:val="en-GB"/>
        </w:rPr>
        <w:t> </w:t>
      </w:r>
      <w:r w:rsidRPr="001456A0">
        <w:rPr>
          <w:lang w:val="en-GB"/>
        </w:rPr>
        <w:t>–</w:t>
      </w:r>
      <w:r w:rsidR="00C17D57">
        <w:rPr>
          <w:lang w:val="en-GB"/>
        </w:rPr>
        <w:t> </w:t>
      </w:r>
      <w:r w:rsidRPr="001456A0">
        <w:rPr>
          <w:lang w:val="en-GB"/>
        </w:rPr>
        <w:t>10 000</w:t>
      </w:r>
      <w:r w:rsidR="00C17D57">
        <w:rPr>
          <w:lang w:val="en-GB"/>
        </w:rPr>
        <w:t> </w:t>
      </w:r>
      <w:r w:rsidRPr="001456A0">
        <w:rPr>
          <w:lang w:val="en-GB"/>
        </w:rPr>
        <w:t>Bq</w:t>
      </w:r>
      <w:r w:rsidR="0046032C">
        <w:rPr>
          <w:lang w:val="en-GB"/>
        </w:rPr>
        <w:t>/</w:t>
      </w:r>
      <w:r w:rsidRPr="001456A0">
        <w:rPr>
          <w:lang w:val="en-GB"/>
        </w:rPr>
        <w:t>m</w:t>
      </w:r>
      <w:r w:rsidRPr="001456A0">
        <w:rPr>
          <w:vertAlign w:val="superscript"/>
          <w:lang w:val="en-GB"/>
        </w:rPr>
        <w:t>3</w:t>
      </w:r>
      <w:r w:rsidRPr="001456A0">
        <w:rPr>
          <w:lang w:val="en-GB"/>
        </w:rPr>
        <w:t>. Two approaches of evaluation of the results in the two different validations of radon monitors are described</w:t>
      </w:r>
      <w:r w:rsidRPr="001456A0">
        <w:rPr>
          <w:lang w:val="en-GB"/>
        </w:rPr>
        <w:t>. This document provides recommendation on how to evaluate secondary standards at participant’s laboratory or directly at the reference laboratory. The first approach is suitable for cases when the secondary standard is calibrated in the range between 300 Bq/m³ and 10 000 Bq/m³. For lower radon concentrations, calibration in a stable radon atmosphere at the reference laboratory is recommended. It means that the comparison device is sent to each participant or each participant is requested to send their secondary standard to reference laboratory. The parameter allowing to a ssess the performance of the participant is the ratio of the radon activity concentration measured by the secondary standard for the relevant reference period to the mean of the values measured by the comparison device over the same period. The interlaboratory comparison of European radon calibration facilities is a powerful tool to detect discrepancies in traceability and to ensure the quality of radon measurements in Europe. It is strongly recommended to carry out the interlaboratory comparison regularly.</w:t>
      </w:r>
    </w:p>
    <w:p w14:paraId="3968DF1D" w14:textId="77777777" w:rsidR="00074E73" w:rsidRPr="001456A0" w:rsidRDefault="00074E73" w:rsidP="00EA647D">
      <w:pPr>
        <w:jc w:val="both"/>
        <w:rPr>
          <w:lang w:val="en-GB"/>
        </w:rPr>
      </w:pPr>
      <w:r w:rsidRPr="001456A0">
        <w:rPr>
          <w:lang w:val="en-GB"/>
        </w:rPr>
        <w:t xml:space="preserve">The traceability of calibrations for radon activity concentration in air measurement to European radon calibration facilities (national or international standards) has been established by using the new radon activity standards developed within the MetroRADON project, and two different approaches were used. The first way was to calibrate the secondary standard devices used by European radon calibration facilities in the same place with traceability to the new radon gas standards. The other way of validation was for one reference device calibrated with a primary radon gas standard to be shipped to European radon calibration facilities for a comparison with their existing secondary standards. </w:t>
      </w:r>
    </w:p>
    <w:p w14:paraId="07443F7E" w14:textId="77777777" w:rsidR="00074E73" w:rsidRPr="001456A0" w:rsidRDefault="00074E73" w:rsidP="00EA647D">
      <w:pPr>
        <w:jc w:val="both"/>
        <w:rPr>
          <w:lang w:val="en-US"/>
        </w:rPr>
      </w:pPr>
      <w:r w:rsidRPr="001456A0">
        <w:rPr>
          <w:lang w:val="en-US"/>
        </w:rPr>
        <w:t xml:space="preserve">The comparison at three different levels of radon activity concentration (400 Bq/m³, 1 000 Bq/m³ and 6 000 Bq/m³) was conducted by the German Federal Office for Radiation Protection (BfS). The results of the interlaboratory comparison show that, taking into account the statistical uncertainties, the ratios of radon activity concentrations are identical for all exposure values and for the summary of all values. </w:t>
      </w:r>
    </w:p>
    <w:p w14:paraId="60448416" w14:textId="1443C7A4" w:rsidR="00074E73" w:rsidRPr="001456A0" w:rsidRDefault="00074E73" w:rsidP="00EA647D">
      <w:pPr>
        <w:jc w:val="both"/>
        <w:rPr>
          <w:rFonts w:eastAsia="Times New Roman"/>
          <w:lang w:val="en-GB"/>
        </w:rPr>
      </w:pPr>
      <w:r w:rsidRPr="001456A0">
        <w:rPr>
          <w:rFonts w:eastAsia="Calibri"/>
          <w:lang w:val="en-GB"/>
        </w:rPr>
        <w:t>The intercomparison performed by the staff of SUJCHBO was realised at two levels of radon activity concentrations, at 200 Bq</w:t>
      </w:r>
      <w:r w:rsidR="006672AB">
        <w:rPr>
          <w:rFonts w:eastAsia="Calibri"/>
          <w:lang w:val="en-GB"/>
        </w:rPr>
        <w:t>/</w:t>
      </w:r>
      <w:r w:rsidRPr="001456A0">
        <w:rPr>
          <w:rFonts w:eastAsia="Calibri"/>
          <w:lang w:val="en-GB"/>
        </w:rPr>
        <w:t>m</w:t>
      </w:r>
      <w:r w:rsidRPr="001456A0">
        <w:rPr>
          <w:rFonts w:eastAsia="Calibri"/>
          <w:vertAlign w:val="superscript"/>
          <w:lang w:val="en-GB"/>
        </w:rPr>
        <w:t>3</w:t>
      </w:r>
      <w:r w:rsidRPr="001456A0">
        <w:rPr>
          <w:rFonts w:eastAsia="Calibri"/>
          <w:lang w:val="en-GB"/>
        </w:rPr>
        <w:t xml:space="preserve"> and at 300 Bq</w:t>
      </w:r>
      <w:r w:rsidR="006672AB">
        <w:rPr>
          <w:rFonts w:eastAsia="Calibri"/>
          <w:lang w:val="en-GB"/>
        </w:rPr>
        <w:t>/</w:t>
      </w:r>
      <w:r w:rsidRPr="001456A0">
        <w:rPr>
          <w:rFonts w:eastAsia="Calibri"/>
          <w:lang w:val="en-GB"/>
        </w:rPr>
        <w:t>m</w:t>
      </w:r>
      <w:r w:rsidRPr="001456A0">
        <w:rPr>
          <w:rFonts w:eastAsia="Calibri"/>
          <w:vertAlign w:val="superscript"/>
          <w:lang w:val="en-GB"/>
        </w:rPr>
        <w:t>3</w:t>
      </w:r>
      <w:r w:rsidRPr="001456A0">
        <w:rPr>
          <w:rFonts w:eastAsia="Calibri"/>
          <w:lang w:val="en-GB"/>
        </w:rPr>
        <w:t>. The analysis of individual parameters of the participant’s performance shows that the results of the secondary standards of the European calibration laboratories are at a very good level.</w:t>
      </w:r>
      <w:r w:rsidRPr="001456A0">
        <w:rPr>
          <w:rFonts w:eastAsia="Times New Roman"/>
          <w:lang w:val="en-GB"/>
        </w:rPr>
        <w:t xml:space="preserve"> </w:t>
      </w:r>
    </w:p>
    <w:p w14:paraId="3F8C2C7D" w14:textId="77777777" w:rsidR="00074E73" w:rsidRPr="001456A0" w:rsidRDefault="00074E73" w:rsidP="00EA647D">
      <w:pPr>
        <w:jc w:val="both"/>
        <w:rPr>
          <w:lang w:val="en-GB"/>
        </w:rPr>
      </w:pPr>
      <w:r w:rsidRPr="001456A0">
        <w:rPr>
          <w:lang w:val="en-US"/>
        </w:rPr>
        <w:t>The detailed results of these two performed validations and results from the questionnaire are given in the “Validation report on the traceability of primary and secondary radon calibration facilities in Europe”.</w:t>
      </w:r>
    </w:p>
    <w:p w14:paraId="7F9391D8" w14:textId="77777777" w:rsidR="00074E73" w:rsidRPr="001456A0" w:rsidRDefault="00074E73" w:rsidP="00EA647D">
      <w:pPr>
        <w:jc w:val="both"/>
        <w:rPr>
          <w:lang w:val="en-GB"/>
        </w:rPr>
      </w:pPr>
      <w:r w:rsidRPr="001456A0">
        <w:rPr>
          <w:lang w:val="en-US"/>
        </w:rPr>
        <w:t>The electronic instruments of the type AlphaGUARD were selected as comparison devices due to their commonness. The devices were compared to each participant</w:t>
      </w:r>
      <w:r w:rsidRPr="001456A0">
        <w:rPr>
          <w:lang w:val="en-GB"/>
        </w:rPr>
        <w:t>’s secondary standard,</w:t>
      </w:r>
      <w:r w:rsidRPr="001456A0">
        <w:rPr>
          <w:lang w:val="en-US"/>
        </w:rPr>
        <w:t xml:space="preserve"> </w:t>
      </w:r>
      <w:r w:rsidRPr="001456A0">
        <w:rPr>
          <w:rFonts w:eastAsia="Calibri"/>
          <w:iCs/>
          <w:lang w:val="en-GB"/>
        </w:rPr>
        <w:t xml:space="preserve">which are used for the calibration of the end-user devices. </w:t>
      </w:r>
    </w:p>
    <w:p w14:paraId="5B4F14E3" w14:textId="06C638FD" w:rsidR="00074E73" w:rsidRPr="001456A0" w:rsidRDefault="00074E73" w:rsidP="00EA647D">
      <w:pPr>
        <w:jc w:val="both"/>
        <w:rPr>
          <w:rFonts w:eastAsia="Calibri"/>
          <w:iCs/>
          <w:lang w:val="en-GB"/>
        </w:rPr>
      </w:pPr>
      <w:r w:rsidRPr="001456A0">
        <w:rPr>
          <w:lang w:val="en-US"/>
        </w:rPr>
        <w:t>In total 15 calibration facilities from 12 different countries of the European Union and one from Montenegro participated in the validation of the traceability in the range from 300 Bq</w:t>
      </w:r>
      <w:r w:rsidR="00847F40">
        <w:rPr>
          <w:lang w:val="en-US"/>
        </w:rPr>
        <w:t>/</w:t>
      </w:r>
      <w:r w:rsidRPr="001456A0">
        <w:rPr>
          <w:lang w:val="en-US"/>
        </w:rPr>
        <w:t>m</w:t>
      </w:r>
      <w:r w:rsidRPr="001456A0">
        <w:rPr>
          <w:vertAlign w:val="superscript"/>
          <w:lang w:val="en-US"/>
        </w:rPr>
        <w:t>3</w:t>
      </w:r>
      <w:r w:rsidRPr="001456A0">
        <w:rPr>
          <w:lang w:val="en-US"/>
        </w:rPr>
        <w:t xml:space="preserve"> to 10 000 Bq</w:t>
      </w:r>
      <w:r w:rsidR="00847F40">
        <w:rPr>
          <w:lang w:val="en-US"/>
        </w:rPr>
        <w:t>/</w:t>
      </w:r>
      <w:r w:rsidRPr="001456A0">
        <w:rPr>
          <w:lang w:val="en-US"/>
        </w:rPr>
        <w:t>m</w:t>
      </w:r>
      <w:r w:rsidRPr="001456A0">
        <w:rPr>
          <w:vertAlign w:val="superscript"/>
          <w:lang w:val="en-US"/>
        </w:rPr>
        <w:t>3</w:t>
      </w:r>
      <w:r w:rsidRPr="001456A0">
        <w:rPr>
          <w:lang w:val="en-US"/>
        </w:rPr>
        <w:t xml:space="preserve">. The comparison device of type AlphaGUARD was sent to each participant by BfS. The participants were to expose the comparison device at three different levels of radon activity concentration: 400 Bq/m³, 1 000 Bq/m³ and 6 000 Bq/m³. It can be assumed that radon activity concentration realized by the European calibration facilities fluctuate around a common mean value. For exposures above 1 000 Bq/m³ the range of variation of the common mean value was about 4 % with a coverage interval of 95 %. For the exposure level of 400 Bq/m³, the 95 % coverage interval </w:t>
      </w:r>
      <w:r w:rsidRPr="001456A0">
        <w:rPr>
          <w:lang w:val="en-US"/>
        </w:rPr>
        <w:lastRenderedPageBreak/>
        <w:t>increased to about 6 %. The participants performed their measurements under different climatic conditions. The statistical analysis revealed a correlation between the results of the intercomparison and the air pressure a</w:t>
      </w:r>
      <w:r w:rsidR="0053117A">
        <w:rPr>
          <w:lang w:val="en-US"/>
        </w:rPr>
        <w:t>t an exposure level of 6 000 Bq/</w:t>
      </w:r>
      <w:r w:rsidRPr="001456A0">
        <w:rPr>
          <w:lang w:val="en-US"/>
        </w:rPr>
        <w:t>m³. The European radon calibration facilities trace back their primary quantities to the national metrological institutes PTB (Germany), LNHB (France) and NIST (USA). The statistical analysis did not show any evidence that the different traceability chains influence the result of the intercomparison or the performance of the calibration facilities in Europe.</w:t>
      </w:r>
      <w:r w:rsidRPr="001456A0">
        <w:rPr>
          <w:rFonts w:eastAsia="Calibri"/>
          <w:iCs/>
          <w:lang w:val="en-GB"/>
        </w:rPr>
        <w:t xml:space="preserve"> </w:t>
      </w:r>
    </w:p>
    <w:p w14:paraId="03E12767" w14:textId="04677F11" w:rsidR="00074E73" w:rsidRPr="001456A0" w:rsidRDefault="00074E73" w:rsidP="00EA647D">
      <w:pPr>
        <w:jc w:val="both"/>
        <w:rPr>
          <w:rFonts w:eastAsia="Calibri"/>
          <w:lang w:val="en-GB"/>
        </w:rPr>
      </w:pPr>
      <w:r w:rsidRPr="001456A0">
        <w:rPr>
          <w:rFonts w:eastAsia="Calibri"/>
          <w:lang w:val="en-GB"/>
        </w:rPr>
        <w:t>Eight European laboratories participated in the intercomparison</w:t>
      </w:r>
      <w:r w:rsidRPr="001456A0">
        <w:rPr>
          <w:lang w:val="en-US"/>
        </w:rPr>
        <w:t xml:space="preserve"> in the range from 300 Bq</w:t>
      </w:r>
      <w:r w:rsidR="007239ED">
        <w:rPr>
          <w:lang w:val="en-US"/>
        </w:rPr>
        <w:t>/</w:t>
      </w:r>
      <w:r w:rsidRPr="001456A0">
        <w:rPr>
          <w:lang w:val="en-US"/>
        </w:rPr>
        <w:t>m</w:t>
      </w:r>
      <w:r w:rsidRPr="001456A0">
        <w:rPr>
          <w:vertAlign w:val="superscript"/>
          <w:lang w:val="en-US"/>
        </w:rPr>
        <w:t>3</w:t>
      </w:r>
      <w:r w:rsidRPr="001456A0">
        <w:rPr>
          <w:lang w:val="en-US"/>
        </w:rPr>
        <w:t xml:space="preserve"> to 10 000 Bq</w:t>
      </w:r>
      <w:r w:rsidR="007239ED">
        <w:rPr>
          <w:lang w:val="en-US"/>
        </w:rPr>
        <w:t>/</w:t>
      </w:r>
      <w:r w:rsidRPr="001456A0">
        <w:rPr>
          <w:lang w:val="en-US"/>
        </w:rPr>
        <w:t>m</w:t>
      </w:r>
      <w:r w:rsidRPr="001456A0">
        <w:rPr>
          <w:vertAlign w:val="superscript"/>
          <w:lang w:val="en-US"/>
        </w:rPr>
        <w:t>3</w:t>
      </w:r>
      <w:r w:rsidRPr="001456A0">
        <w:rPr>
          <w:lang w:val="en-US"/>
        </w:rPr>
        <w:t>.</w:t>
      </w:r>
      <w:r w:rsidRPr="001456A0">
        <w:rPr>
          <w:rFonts w:eastAsia="Calibri"/>
          <w:lang w:val="en-GB"/>
        </w:rPr>
        <w:t xml:space="preserve"> The calibration was performed by the SUJCHBO using the unique equipment developed in MetroRADON for testing of measuring devices at low-level radon activity concentrations. The intercomparison was realised at two levels of radon activity concentrations, at 200 Bq</w:t>
      </w:r>
      <w:r w:rsidR="007239ED">
        <w:rPr>
          <w:rFonts w:eastAsia="Calibri"/>
          <w:lang w:val="en-GB"/>
        </w:rPr>
        <w:t>/</w:t>
      </w:r>
      <w:r w:rsidRPr="001456A0">
        <w:rPr>
          <w:rFonts w:eastAsia="Calibri"/>
          <w:lang w:val="en-GB"/>
        </w:rPr>
        <w:t>m</w:t>
      </w:r>
      <w:r w:rsidRPr="001456A0">
        <w:rPr>
          <w:rFonts w:eastAsia="Calibri"/>
          <w:vertAlign w:val="superscript"/>
          <w:lang w:val="en-GB"/>
        </w:rPr>
        <w:t>3</w:t>
      </w:r>
      <w:r w:rsidRPr="001456A0">
        <w:rPr>
          <w:rFonts w:eastAsia="Calibri"/>
          <w:lang w:val="en-GB"/>
        </w:rPr>
        <w:t xml:space="preserve"> and at 300 Bq</w:t>
      </w:r>
      <w:r w:rsidR="007239ED">
        <w:rPr>
          <w:rFonts w:eastAsia="Calibri"/>
          <w:lang w:val="en-GB"/>
        </w:rPr>
        <w:t>/</w:t>
      </w:r>
      <w:r w:rsidRPr="001456A0">
        <w:rPr>
          <w:rFonts w:eastAsia="Calibri"/>
          <w:lang w:val="en-GB"/>
        </w:rPr>
        <w:t>m</w:t>
      </w:r>
      <w:r w:rsidRPr="001456A0">
        <w:rPr>
          <w:rFonts w:eastAsia="Calibri"/>
          <w:vertAlign w:val="superscript"/>
          <w:lang w:val="en-GB"/>
        </w:rPr>
        <w:t>3</w:t>
      </w:r>
      <w:r w:rsidRPr="001456A0">
        <w:rPr>
          <w:rFonts w:eastAsia="Calibri"/>
          <w:lang w:val="en-GB"/>
        </w:rPr>
        <w:t>. The analysis of individual parameters of the participant’s performance shows that the results of the secondary standards of the European calibration laboratories are at a very good level.</w:t>
      </w:r>
    </w:p>
    <w:p w14:paraId="6FB15336" w14:textId="3FCB8512" w:rsidR="00074E73" w:rsidRPr="00A914F2" w:rsidRDefault="00074E73">
      <w:pPr>
        <w:jc w:val="both"/>
        <w:rPr>
          <w:lang w:val="en-GB"/>
        </w:rPr>
      </w:pPr>
      <w:r w:rsidRPr="00A914F2">
        <w:rPr>
          <w:lang w:val="en-GB"/>
        </w:rPr>
        <w:t xml:space="preserve">The considerable number of participants from various </w:t>
      </w:r>
      <w:r w:rsidRPr="00A914F2">
        <w:rPr>
          <w:lang w:val="en-GB"/>
        </w:rPr>
        <w:t xml:space="preserve">European countries with different positions in the metrological hierarchy and thus different positions in the traceability chain of the considered quantity allowed a representative validation of the performance and quality in the calibration of radon measuring devices. </w:t>
      </w:r>
    </w:p>
    <w:p w14:paraId="747C0AC4" w14:textId="7D85008C" w:rsidR="00074E73" w:rsidRPr="001456A0" w:rsidRDefault="00074E73" w:rsidP="0053117A">
      <w:pPr>
        <w:jc w:val="center"/>
        <w:rPr>
          <w:rFonts w:asciiTheme="minorHAnsi" w:hAnsiTheme="minorHAnsi" w:cstheme="minorHAnsi"/>
        </w:rPr>
      </w:pPr>
      <w:r w:rsidRPr="001456A0">
        <w:rPr>
          <w:rFonts w:asciiTheme="minorHAnsi" w:hAnsiTheme="minorHAnsi" w:cstheme="minorHAnsi"/>
          <w:noProof/>
          <w:lang w:val="fr-FR" w:eastAsia="fr-FR"/>
        </w:rPr>
        <w:drawing>
          <wp:inline distT="0" distB="0" distL="0" distR="0" wp14:anchorId="0C001BA6" wp14:editId="7B315F8E">
            <wp:extent cx="3766457" cy="3766457"/>
            <wp:effectExtent l="0" t="0" r="5715" b="571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61822" cy="3761822"/>
                    </a:xfrm>
                    <a:prstGeom prst="rect">
                      <a:avLst/>
                    </a:prstGeom>
                    <a:noFill/>
                    <a:ln>
                      <a:noFill/>
                    </a:ln>
                    <a:effectLst/>
                  </pic:spPr>
                </pic:pic>
              </a:graphicData>
            </a:graphic>
          </wp:inline>
        </w:drawing>
      </w:r>
    </w:p>
    <w:p w14:paraId="55B5FD35" w14:textId="7272F55D" w:rsidR="00074E73" w:rsidRPr="001456A0" w:rsidRDefault="00074E73" w:rsidP="00074E73">
      <w:pPr>
        <w:pStyle w:val="Figure"/>
        <w:ind w:firstLine="0"/>
        <w:jc w:val="both"/>
      </w:pPr>
      <w:r w:rsidRPr="001456A0">
        <w:t xml:space="preserve">Figure </w:t>
      </w:r>
      <w:r w:rsidR="007239ED">
        <w:t>2</w:t>
      </w:r>
      <w:r w:rsidRPr="001456A0">
        <w:t xml:space="preserve">: Map of states involved in interlaboratory comparisons </w:t>
      </w:r>
      <w:r w:rsidRPr="001456A0">
        <w:rPr>
          <w:lang w:val="en-GB"/>
        </w:rPr>
        <w:t>(violet background –</w:t>
      </w:r>
      <w:r w:rsidR="00441CBC">
        <w:rPr>
          <w:lang w:val="en-GB"/>
        </w:rPr>
        <w:t xml:space="preserve"> country</w:t>
      </w:r>
      <w:r w:rsidRPr="001456A0">
        <w:rPr>
          <w:lang w:val="en-GB"/>
        </w:rPr>
        <w:t xml:space="preserve"> participating only in comparison performed by BfS, orange background – </w:t>
      </w:r>
      <w:r w:rsidR="00441CBC">
        <w:rPr>
          <w:lang w:val="en-GB"/>
        </w:rPr>
        <w:t xml:space="preserve">country </w:t>
      </w:r>
      <w:r w:rsidRPr="001456A0">
        <w:rPr>
          <w:lang w:val="en-GB"/>
        </w:rPr>
        <w:t>participating in comparisons at BfS and SUJCHBO)</w:t>
      </w:r>
      <w:r w:rsidR="0053117A">
        <w:rPr>
          <w:lang w:val="en-GB"/>
        </w:rPr>
        <w:t>.</w:t>
      </w:r>
    </w:p>
    <w:p w14:paraId="41BFCBC5" w14:textId="77777777" w:rsidR="00074E73" w:rsidRPr="001456A0" w:rsidRDefault="00074E73" w:rsidP="00EA647D">
      <w:pPr>
        <w:jc w:val="both"/>
        <w:rPr>
          <w:lang w:val="en-US"/>
        </w:rPr>
      </w:pPr>
      <w:r w:rsidRPr="001456A0">
        <w:rPr>
          <w:lang w:val="en-US"/>
        </w:rPr>
        <w:t xml:space="preserve">The interlaboratory comparison </w:t>
      </w:r>
      <w:r w:rsidRPr="001456A0">
        <w:rPr>
          <w:rFonts w:eastAsia="Calibri"/>
          <w:lang w:val="en-GB"/>
        </w:rPr>
        <w:t xml:space="preserve">of secondary standards </w:t>
      </w:r>
      <w:r w:rsidRPr="001456A0">
        <w:rPr>
          <w:lang w:val="en-US"/>
        </w:rPr>
        <w:t xml:space="preserve">of European radon calibration facilities </w:t>
      </w:r>
      <w:r w:rsidRPr="001456A0">
        <w:rPr>
          <w:rFonts w:eastAsia="Calibri"/>
          <w:lang w:val="en-GB"/>
        </w:rPr>
        <w:t xml:space="preserve">for radon calibration </w:t>
      </w:r>
      <w:r w:rsidRPr="001456A0">
        <w:rPr>
          <w:lang w:val="en-US"/>
        </w:rPr>
        <w:t xml:space="preserve">is a powerful tool to detect discrepancies in traceability and to ensure the quality of radon measurements in Europe. Traceability of European radon calibration facilities was found to be good overall. </w:t>
      </w:r>
    </w:p>
    <w:p w14:paraId="75F92585" w14:textId="77777777" w:rsidR="00074E73" w:rsidRPr="001456A0" w:rsidRDefault="00074E73" w:rsidP="00EA647D">
      <w:pPr>
        <w:jc w:val="both"/>
        <w:rPr>
          <w:lang w:val="en-GB"/>
        </w:rPr>
      </w:pPr>
      <w:r w:rsidRPr="001456A0">
        <w:rPr>
          <w:lang w:val="en-GB"/>
        </w:rPr>
        <w:t xml:space="preserve">The main approach of the validation was that the devices have been calibrated in the stable radon atmosphere which allowed calibration at lower levels of radon concentrations in air and also not such significant uncertainties as in the case of decreasing radon atmosphere. </w:t>
      </w:r>
    </w:p>
    <w:p w14:paraId="50EB2F6B" w14:textId="77777777" w:rsidR="00074E73" w:rsidRPr="00795056" w:rsidRDefault="00074E73" w:rsidP="00EA647D">
      <w:pPr>
        <w:jc w:val="both"/>
        <w:rPr>
          <w:lang w:val="en-US"/>
        </w:rPr>
      </w:pPr>
      <w:r w:rsidRPr="00795056">
        <w:rPr>
          <w:lang w:val="en-US"/>
        </w:rPr>
        <w:lastRenderedPageBreak/>
        <w:t>The traceability and quality assurance of radon calibration facilities as well as the development of methods have been concerned within the MetroRADON project. The electronic instruments of the type AlphaGUARD were selected as comparison devices due to their commonness. The devices were compared to each participant’s secondary standard, which are used for the calibration of the end-user devices.</w:t>
      </w:r>
    </w:p>
    <w:p w14:paraId="6987097D" w14:textId="73E099C9" w:rsidR="00074E73" w:rsidRPr="00795056" w:rsidRDefault="00074E73" w:rsidP="00EA647D">
      <w:pPr>
        <w:jc w:val="both"/>
        <w:rPr>
          <w:lang w:val="en-US"/>
        </w:rPr>
      </w:pPr>
      <w:r w:rsidRPr="00795056">
        <w:rPr>
          <w:lang w:val="en-US"/>
        </w:rPr>
        <w:t xml:space="preserve">In total 15 calibration facilities from 12 different countries of the European Union and one from Montenegro participated in the validation of the traceability in the range from 300 </w:t>
      </w:r>
      <w:r w:rsidR="00097ACC">
        <w:rPr>
          <w:lang w:val="en-US"/>
        </w:rPr>
        <w:t>Bq/m</w:t>
      </w:r>
      <w:r w:rsidR="00097ACC">
        <w:rPr>
          <w:vertAlign w:val="superscript"/>
          <w:lang w:val="en-US"/>
        </w:rPr>
        <w:t>3</w:t>
      </w:r>
      <w:r w:rsidRPr="00795056">
        <w:rPr>
          <w:lang w:val="en-US"/>
        </w:rPr>
        <w:t xml:space="preserve">to 10 000 </w:t>
      </w:r>
      <w:r w:rsidR="00097ACC">
        <w:rPr>
          <w:lang w:val="en-US"/>
        </w:rPr>
        <w:t>Bq/m</w:t>
      </w:r>
      <w:r w:rsidR="00097ACC">
        <w:rPr>
          <w:vertAlign w:val="superscript"/>
          <w:lang w:val="en-US"/>
        </w:rPr>
        <w:t>3</w:t>
      </w:r>
      <w:r w:rsidRPr="00795056">
        <w:rPr>
          <w:lang w:val="en-US"/>
        </w:rPr>
        <w:t>. The comparison device of type AlphaGUARD was sent to each participant by German Federal Office for Radiation Protection (BfS). The participants were to expose the comparison device at three different levels of radon activity concentration: 400 Bq/m³, 1 000 Bq/m³ and 6 000 Bq/m³. It can be assumed that radon activity concentration realized by the European calibration facilities fluctuate around a common mean value. For exposures above 1 000 Bq/m³ the range of variation of the common mean value was about 4 % with a coverage interval of 95 %. For the exposure level of 400 Bq/m³, the 95 % coverage interval increased to about 6 %. The participants performed their measurements under different climatic conditions. The statistical analysis revealed a correlation between the results of the intercomparison and the air pressure at an exposure level of 6 000 Bq m-³. The European radon calibration facilities trace back their primary quantities to the national metrological institutes PTB (Germany), LNHB (France) and NIST (USA). The statistical analysis did not show any evidence that the different traceability chains influence the result of the intercomparison or the performance of the calibration facilities in Europe.</w:t>
      </w:r>
    </w:p>
    <w:p w14:paraId="7C83F6A5" w14:textId="251BB36C" w:rsidR="00074E73" w:rsidRPr="00795056" w:rsidRDefault="00074E73" w:rsidP="00EA647D">
      <w:pPr>
        <w:jc w:val="both"/>
        <w:rPr>
          <w:lang w:val="en-US"/>
        </w:rPr>
      </w:pPr>
      <w:r w:rsidRPr="00795056">
        <w:rPr>
          <w:lang w:val="en-US"/>
        </w:rPr>
        <w:t xml:space="preserve">Eight European laboratories participated in the intercomparison in the range from </w:t>
      </w:r>
      <w:r w:rsidR="002C4DA6">
        <w:rPr>
          <w:lang w:val="en-US"/>
        </w:rPr>
        <w:t>100</w:t>
      </w:r>
      <w:r w:rsidRPr="00795056">
        <w:rPr>
          <w:lang w:val="en-US"/>
        </w:rPr>
        <w:t xml:space="preserve"> Bq</w:t>
      </w:r>
      <w:r w:rsidR="0053117A">
        <w:rPr>
          <w:lang w:val="en-US"/>
        </w:rPr>
        <w:t>/</w:t>
      </w:r>
      <w:r w:rsidRPr="00795056">
        <w:rPr>
          <w:lang w:val="en-US"/>
        </w:rPr>
        <w:t>m</w:t>
      </w:r>
      <w:r w:rsidRPr="0053117A">
        <w:rPr>
          <w:vertAlign w:val="superscript"/>
          <w:lang w:val="en-US"/>
        </w:rPr>
        <w:t>3</w:t>
      </w:r>
      <w:r w:rsidRPr="00795056">
        <w:rPr>
          <w:lang w:val="en-US"/>
        </w:rPr>
        <w:t xml:space="preserve"> to </w:t>
      </w:r>
      <w:r w:rsidR="002C4DA6">
        <w:rPr>
          <w:lang w:val="en-US"/>
        </w:rPr>
        <w:t>300</w:t>
      </w:r>
      <w:r w:rsidRPr="00795056">
        <w:rPr>
          <w:lang w:val="en-US"/>
        </w:rPr>
        <w:t xml:space="preserve"> Bq</w:t>
      </w:r>
      <w:r w:rsidR="0053117A">
        <w:rPr>
          <w:lang w:val="en-US"/>
        </w:rPr>
        <w:t>/</w:t>
      </w:r>
      <w:r w:rsidRPr="00795056">
        <w:rPr>
          <w:lang w:val="en-US"/>
        </w:rPr>
        <w:t>m</w:t>
      </w:r>
      <w:r w:rsidRPr="0053117A">
        <w:rPr>
          <w:vertAlign w:val="superscript"/>
          <w:lang w:val="en-US"/>
        </w:rPr>
        <w:t>3</w:t>
      </w:r>
      <w:r w:rsidRPr="00795056">
        <w:rPr>
          <w:lang w:val="en-US"/>
        </w:rPr>
        <w:t>. The calibration was performed by the SUJCHBO using the unique equipment developed in MetroRADON for testing of measuring devices at low-level radon activity concentrations. The intercomparison was realised at two levels of radon activity concentrations, at 200 Bq</w:t>
      </w:r>
      <w:r w:rsidR="0053117A">
        <w:rPr>
          <w:lang w:val="en-US"/>
        </w:rPr>
        <w:t>/</w:t>
      </w:r>
      <w:r w:rsidRPr="00795056">
        <w:rPr>
          <w:lang w:val="en-US"/>
        </w:rPr>
        <w:t>m</w:t>
      </w:r>
      <w:r w:rsidRPr="0053117A">
        <w:rPr>
          <w:vertAlign w:val="superscript"/>
          <w:lang w:val="en-US"/>
        </w:rPr>
        <w:t>3</w:t>
      </w:r>
      <w:r w:rsidR="0053117A">
        <w:rPr>
          <w:lang w:val="en-US"/>
        </w:rPr>
        <w:t xml:space="preserve"> and at 300 Bq/</w:t>
      </w:r>
      <w:r w:rsidRPr="00795056">
        <w:rPr>
          <w:lang w:val="en-US"/>
        </w:rPr>
        <w:t>m</w:t>
      </w:r>
      <w:r w:rsidR="0053117A" w:rsidRPr="0053117A">
        <w:rPr>
          <w:vertAlign w:val="superscript"/>
          <w:lang w:val="en-US"/>
        </w:rPr>
        <w:t>3</w:t>
      </w:r>
      <w:r w:rsidRPr="00795056">
        <w:rPr>
          <w:lang w:val="en-US"/>
        </w:rPr>
        <w:t xml:space="preserve">. The analysis of individual parameters of the participant’s performance shows that the results of the secondary standards of the European calibration laboratories </w:t>
      </w:r>
      <w:r w:rsidRPr="00795056">
        <w:rPr>
          <w:lang w:val="en-US"/>
        </w:rPr>
        <w:t>are at a very good level.</w:t>
      </w:r>
    </w:p>
    <w:p w14:paraId="6D9A09E8" w14:textId="294D6E56" w:rsidR="00074E73" w:rsidRDefault="00074E73" w:rsidP="00EA647D">
      <w:pPr>
        <w:jc w:val="both"/>
        <w:rPr>
          <w:lang w:val="en-US"/>
        </w:rPr>
      </w:pPr>
      <w:r w:rsidRPr="00795056">
        <w:rPr>
          <w:lang w:val="en-US"/>
        </w:rPr>
        <w:t>The interlaboratory comparison of secondary standards of European radon calibration facilities for radon calibration is a powerful tool to detect discrepancies in traceability and to ensure the quality of radon measurements in Europe. Traceability of European radon calibration facilities was found to be good overall.</w:t>
      </w:r>
    </w:p>
    <w:p w14:paraId="32E9162D" w14:textId="138FE13D" w:rsidR="00441CBC" w:rsidRPr="0053117A" w:rsidRDefault="00441CBC" w:rsidP="00EA647D">
      <w:pPr>
        <w:jc w:val="both"/>
        <w:rPr>
          <w:b/>
          <w:lang w:val="en-US"/>
        </w:rPr>
      </w:pPr>
      <w:r w:rsidRPr="0053117A">
        <w:rPr>
          <w:b/>
          <w:lang w:val="en-US"/>
        </w:rPr>
        <w:t>Recommendations</w:t>
      </w:r>
      <w:r w:rsidR="002C4DA6" w:rsidRPr="0053117A">
        <w:rPr>
          <w:b/>
          <w:lang w:val="en-US"/>
        </w:rPr>
        <w:t>:</w:t>
      </w:r>
    </w:p>
    <w:p w14:paraId="1AD3FD80" w14:textId="4D6F4830" w:rsidR="002C4DA6" w:rsidRDefault="002C4DA6" w:rsidP="00EA647D">
      <w:pPr>
        <w:jc w:val="both"/>
        <w:rPr>
          <w:lang w:val="en-US"/>
        </w:rPr>
      </w:pPr>
      <w:r>
        <w:rPr>
          <w:lang w:val="en-US"/>
        </w:rPr>
        <w:t xml:space="preserve">Validation of the radon measurement instruments in </w:t>
      </w:r>
      <w:r w:rsidRPr="00795056">
        <w:rPr>
          <w:lang w:val="en-US"/>
        </w:rPr>
        <w:t xml:space="preserve">range from </w:t>
      </w:r>
      <w:r>
        <w:rPr>
          <w:lang w:val="en-US"/>
        </w:rPr>
        <w:t>100</w:t>
      </w:r>
      <w:r w:rsidR="0053117A">
        <w:rPr>
          <w:lang w:val="en-US"/>
        </w:rPr>
        <w:t xml:space="preserve"> Bq/</w:t>
      </w:r>
      <w:r w:rsidRPr="00795056">
        <w:rPr>
          <w:lang w:val="en-US"/>
        </w:rPr>
        <w:t>m</w:t>
      </w:r>
      <w:r w:rsidRPr="0053117A">
        <w:rPr>
          <w:vertAlign w:val="superscript"/>
          <w:lang w:val="en-US"/>
        </w:rPr>
        <w:t>3</w:t>
      </w:r>
      <w:r w:rsidRPr="00795056">
        <w:rPr>
          <w:lang w:val="en-US"/>
        </w:rPr>
        <w:t xml:space="preserve"> to </w:t>
      </w:r>
      <w:r>
        <w:rPr>
          <w:lang w:val="en-US"/>
        </w:rPr>
        <w:t>300</w:t>
      </w:r>
      <w:r w:rsidR="0053117A">
        <w:rPr>
          <w:lang w:val="en-US"/>
        </w:rPr>
        <w:t xml:space="preserve"> Bq/</w:t>
      </w:r>
      <w:r w:rsidRPr="00795056">
        <w:rPr>
          <w:lang w:val="en-US"/>
        </w:rPr>
        <w:t>m</w:t>
      </w:r>
      <w:r w:rsidRPr="0053117A">
        <w:rPr>
          <w:vertAlign w:val="superscript"/>
          <w:lang w:val="en-US"/>
        </w:rPr>
        <w:t>3</w:t>
      </w:r>
    </w:p>
    <w:p w14:paraId="62063969" w14:textId="7F5CE35B" w:rsidR="00441CBC" w:rsidRDefault="002C4DA6" w:rsidP="002805FF">
      <w:pPr>
        <w:pStyle w:val="ListParagraph"/>
        <w:numPr>
          <w:ilvl w:val="0"/>
          <w:numId w:val="48"/>
        </w:numPr>
        <w:spacing w:before="120" w:after="120"/>
        <w:contextualSpacing w:val="0"/>
        <w:jc w:val="both"/>
        <w:rPr>
          <w:lang w:val="en-US"/>
        </w:rPr>
      </w:pPr>
      <w:r>
        <w:rPr>
          <w:lang w:val="en-US"/>
        </w:rPr>
        <w:t>P</w:t>
      </w:r>
      <w:r w:rsidRPr="002C4DA6">
        <w:rPr>
          <w:lang w:val="en-US"/>
        </w:rPr>
        <w:t xml:space="preserve">articipants of the intercomparison </w:t>
      </w:r>
      <w:r>
        <w:rPr>
          <w:lang w:val="en-US"/>
        </w:rPr>
        <w:t>should</w:t>
      </w:r>
      <w:r w:rsidRPr="002C4DA6">
        <w:rPr>
          <w:lang w:val="en-US"/>
        </w:rPr>
        <w:t xml:space="preserve"> arrange a transport company for the shipment of their secondary standard to SUJCHBO and back and will also cover all transfer fees.</w:t>
      </w:r>
    </w:p>
    <w:p w14:paraId="298B1A43" w14:textId="40518B12" w:rsidR="002C4DA6" w:rsidRPr="002C4DA6" w:rsidRDefault="002C4DA6" w:rsidP="002805FF">
      <w:pPr>
        <w:pStyle w:val="ListParagraph"/>
        <w:numPr>
          <w:ilvl w:val="0"/>
          <w:numId w:val="48"/>
        </w:numPr>
        <w:spacing w:before="120" w:after="120"/>
        <w:contextualSpacing w:val="0"/>
        <w:jc w:val="both"/>
        <w:rPr>
          <w:lang w:val="en-US"/>
        </w:rPr>
      </w:pPr>
      <w:r w:rsidRPr="002805FF">
        <w:rPr>
          <w:lang w:val="en-US"/>
        </w:rPr>
        <w:t>The Participant´s standard, together with necessary accessories should be safely packed and transported in a shipping box.</w:t>
      </w:r>
    </w:p>
    <w:p w14:paraId="500708A4" w14:textId="77777777" w:rsidR="002C4DA6" w:rsidRPr="002805FF" w:rsidRDefault="002C4DA6" w:rsidP="002805FF">
      <w:pPr>
        <w:pStyle w:val="ListParagraph"/>
        <w:numPr>
          <w:ilvl w:val="0"/>
          <w:numId w:val="48"/>
        </w:numPr>
        <w:spacing w:before="120" w:after="120"/>
        <w:contextualSpacing w:val="0"/>
        <w:rPr>
          <w:lang w:val="en-US"/>
        </w:rPr>
      </w:pPr>
      <w:r w:rsidRPr="002805FF">
        <w:rPr>
          <w:lang w:val="en-US"/>
        </w:rPr>
        <w:t>Upon delivering the Participant´s device, SUJCHBO will check the integrity of the shipping package and its secondary standards.</w:t>
      </w:r>
    </w:p>
    <w:p w14:paraId="38E3496E" w14:textId="77777777" w:rsidR="002C4DA6" w:rsidRPr="002805FF" w:rsidRDefault="002C4DA6" w:rsidP="002805FF">
      <w:pPr>
        <w:pStyle w:val="ListParagraph"/>
        <w:spacing w:after="0"/>
        <w:ind w:firstLine="697"/>
        <w:contextualSpacing w:val="0"/>
        <w:rPr>
          <w:lang w:val="en-US"/>
        </w:rPr>
      </w:pPr>
      <w:r w:rsidRPr="002805FF">
        <w:rPr>
          <w:lang w:val="en-US"/>
        </w:rPr>
        <w:t>The shipping address is:</w:t>
      </w:r>
      <w:r w:rsidRPr="002805FF">
        <w:rPr>
          <w:lang w:val="en-US"/>
        </w:rPr>
        <w:tab/>
        <w:t>MSc. Josef Vosahlik</w:t>
      </w:r>
    </w:p>
    <w:p w14:paraId="0284D03D" w14:textId="77777777" w:rsidR="002C4DA6" w:rsidRPr="002805FF" w:rsidRDefault="002C4DA6" w:rsidP="002805FF">
      <w:pPr>
        <w:pStyle w:val="ListParagraph"/>
        <w:spacing w:after="0"/>
        <w:ind w:left="3552" w:firstLine="697"/>
        <w:contextualSpacing w:val="0"/>
        <w:rPr>
          <w:lang w:val="en-US"/>
        </w:rPr>
      </w:pPr>
      <w:r w:rsidRPr="002805FF">
        <w:rPr>
          <w:lang w:val="en-US"/>
        </w:rPr>
        <w:t>SUJCHBO, v.v.i</w:t>
      </w:r>
    </w:p>
    <w:p w14:paraId="3C356E61" w14:textId="77777777" w:rsidR="002C4DA6" w:rsidRPr="002805FF" w:rsidRDefault="002C4DA6" w:rsidP="002805FF">
      <w:pPr>
        <w:pStyle w:val="ListParagraph"/>
        <w:spacing w:after="0"/>
        <w:ind w:left="3552" w:firstLine="697"/>
        <w:contextualSpacing w:val="0"/>
        <w:rPr>
          <w:lang w:val="en-US"/>
        </w:rPr>
      </w:pPr>
      <w:r w:rsidRPr="002805FF">
        <w:rPr>
          <w:lang w:val="en-US"/>
        </w:rPr>
        <w:t>Kamenna 71, Milin 262 31</w:t>
      </w:r>
    </w:p>
    <w:p w14:paraId="68D85E3F" w14:textId="77777777" w:rsidR="002C4DA6" w:rsidRPr="002805FF" w:rsidRDefault="002C4DA6" w:rsidP="002805FF">
      <w:pPr>
        <w:pStyle w:val="ListParagraph"/>
        <w:spacing w:after="0"/>
        <w:ind w:left="3552" w:firstLine="697"/>
        <w:contextualSpacing w:val="0"/>
        <w:rPr>
          <w:lang w:val="en-US"/>
        </w:rPr>
      </w:pPr>
      <w:r w:rsidRPr="002805FF">
        <w:rPr>
          <w:lang w:val="en-US"/>
        </w:rPr>
        <w:t>Czech Republic</w:t>
      </w:r>
    </w:p>
    <w:p w14:paraId="13510217" w14:textId="25094B82" w:rsidR="002C4DA6" w:rsidRPr="002C4DA6" w:rsidRDefault="002C4DA6" w:rsidP="002805FF">
      <w:pPr>
        <w:pStyle w:val="ListParagraph"/>
        <w:numPr>
          <w:ilvl w:val="0"/>
          <w:numId w:val="48"/>
        </w:numPr>
        <w:spacing w:before="120" w:after="120"/>
        <w:contextualSpacing w:val="0"/>
        <w:jc w:val="both"/>
        <w:rPr>
          <w:lang w:val="en-US"/>
        </w:rPr>
      </w:pPr>
      <w:r w:rsidRPr="002805FF">
        <w:rPr>
          <w:lang w:val="en-US"/>
        </w:rPr>
        <w:lastRenderedPageBreak/>
        <w:t>The Participant guarantees a sufficient memory capacity of the device for about ten days. The Participant should also note the possibility of operating the device via batteries or only with an external power source. The device time-unit will be set to Central European Time. The sampling interval will be set to 60 minutes.</w:t>
      </w:r>
    </w:p>
    <w:p w14:paraId="2A596736" w14:textId="3811B4C9" w:rsidR="002C4DA6" w:rsidRPr="00541B07" w:rsidRDefault="00541B07" w:rsidP="002805FF">
      <w:pPr>
        <w:pStyle w:val="ListParagraph"/>
        <w:numPr>
          <w:ilvl w:val="0"/>
          <w:numId w:val="48"/>
        </w:numPr>
        <w:spacing w:before="120" w:after="120"/>
        <w:contextualSpacing w:val="0"/>
        <w:jc w:val="both"/>
        <w:rPr>
          <w:lang w:val="en-US"/>
        </w:rPr>
      </w:pPr>
      <w:r w:rsidRPr="002805FF">
        <w:rPr>
          <w:lang w:val="en-US"/>
        </w:rPr>
        <w:t>The time required for the intercomparison measurement of each secondary standard is estimated for approximately two weeks.</w:t>
      </w:r>
    </w:p>
    <w:p w14:paraId="5ABA1D51" w14:textId="77777777" w:rsidR="00541B07" w:rsidRPr="002805FF" w:rsidRDefault="00541B07" w:rsidP="002805FF">
      <w:pPr>
        <w:pStyle w:val="ListParagraph"/>
        <w:numPr>
          <w:ilvl w:val="0"/>
          <w:numId w:val="48"/>
        </w:numPr>
        <w:spacing w:before="120" w:after="120"/>
        <w:contextualSpacing w:val="0"/>
        <w:rPr>
          <w:lang w:val="en-US"/>
        </w:rPr>
      </w:pPr>
      <w:r w:rsidRPr="002805FF">
        <w:rPr>
          <w:lang w:val="en-US"/>
        </w:rPr>
        <w:t>Together with the Participant`s device, the AlphaGuard DF 2000 (owned by the SUJCHBO) will be placed into the Low-Level Radon Chamber. This reference measuring device has been calibrated in the BfS Berlin (Calibration Certificate No R-19-1).</w:t>
      </w:r>
    </w:p>
    <w:p w14:paraId="1A515D63" w14:textId="745C2466" w:rsidR="00541B07" w:rsidRPr="00541B07" w:rsidRDefault="00541B07" w:rsidP="002805FF">
      <w:pPr>
        <w:pStyle w:val="ListParagraph"/>
        <w:numPr>
          <w:ilvl w:val="0"/>
          <w:numId w:val="48"/>
        </w:numPr>
        <w:spacing w:before="120" w:after="120"/>
        <w:contextualSpacing w:val="0"/>
        <w:jc w:val="both"/>
        <w:rPr>
          <w:lang w:val="en-US"/>
        </w:rPr>
      </w:pPr>
      <w:r w:rsidRPr="002805FF">
        <w:rPr>
          <w:lang w:val="en-US"/>
        </w:rPr>
        <w:t>The Participant will receive the List of technical records together with the returned instrument. In the List, there will be noted the time of exposure and a climatic condition monitored during the calibration.</w:t>
      </w:r>
    </w:p>
    <w:p w14:paraId="0DED6175" w14:textId="5643D889" w:rsidR="00541B07" w:rsidRDefault="00541B07" w:rsidP="00541B07">
      <w:pPr>
        <w:jc w:val="both"/>
        <w:rPr>
          <w:lang w:val="en-US"/>
        </w:rPr>
      </w:pPr>
      <w:r w:rsidRPr="00541B07">
        <w:rPr>
          <w:lang w:val="en-US"/>
        </w:rPr>
        <w:t xml:space="preserve">Validation of the radon measurement instruments in range from </w:t>
      </w:r>
      <w:r>
        <w:rPr>
          <w:lang w:val="en-US"/>
        </w:rPr>
        <w:t>30</w:t>
      </w:r>
      <w:r w:rsidR="002805FF">
        <w:rPr>
          <w:lang w:val="en-US"/>
        </w:rPr>
        <w:t>0 Bq/</w:t>
      </w:r>
      <w:r w:rsidRPr="00541B07">
        <w:rPr>
          <w:lang w:val="en-US"/>
        </w:rPr>
        <w:t>m</w:t>
      </w:r>
      <w:r w:rsidRPr="002805FF">
        <w:rPr>
          <w:vertAlign w:val="superscript"/>
          <w:lang w:val="en-US"/>
        </w:rPr>
        <w:t>3</w:t>
      </w:r>
      <w:r w:rsidRPr="00541B07">
        <w:rPr>
          <w:lang w:val="en-US"/>
        </w:rPr>
        <w:t xml:space="preserve"> to</w:t>
      </w:r>
      <w:r w:rsidR="002805FF">
        <w:rPr>
          <w:lang w:val="en-US"/>
        </w:rPr>
        <w:t xml:space="preserve"> </w:t>
      </w:r>
      <w:r>
        <w:rPr>
          <w:lang w:val="en-US"/>
        </w:rPr>
        <w:t>10 00</w:t>
      </w:r>
      <w:r w:rsidR="002805FF">
        <w:rPr>
          <w:lang w:val="en-US"/>
        </w:rPr>
        <w:t>0 Bq/</w:t>
      </w:r>
      <w:r w:rsidRPr="00541B07">
        <w:rPr>
          <w:lang w:val="en-US"/>
        </w:rPr>
        <w:t>m</w:t>
      </w:r>
      <w:r w:rsidRPr="002805FF">
        <w:rPr>
          <w:vertAlign w:val="superscript"/>
          <w:lang w:val="en-US"/>
        </w:rPr>
        <w:t>3</w:t>
      </w:r>
    </w:p>
    <w:p w14:paraId="6E7505B6" w14:textId="77777777" w:rsidR="00541B07" w:rsidRPr="0053117A" w:rsidRDefault="00541B07" w:rsidP="002805FF">
      <w:pPr>
        <w:pStyle w:val="ListParagraph"/>
        <w:numPr>
          <w:ilvl w:val="0"/>
          <w:numId w:val="48"/>
        </w:numPr>
        <w:spacing w:before="120" w:after="120"/>
        <w:ind w:left="714" w:hanging="357"/>
        <w:contextualSpacing w:val="0"/>
        <w:jc w:val="both"/>
        <w:rPr>
          <w:lang w:val="en-US"/>
        </w:rPr>
      </w:pPr>
      <w:r w:rsidRPr="002805FF">
        <w:rPr>
          <w:lang w:val="en-US"/>
        </w:rPr>
        <w:t>An electronic radon instrument ALPHAGUARD (Type PQ 2000 PRO TTL, SN 1336) will be provided as transfer comparison device for the intercomparison. The device is owned by BfS, and will be made available to the laboratory for a predefined time duration, in order to perform the exposures. After performing the exposures, the device has to be sent back to BfS.</w:t>
      </w:r>
    </w:p>
    <w:p w14:paraId="684279E4" w14:textId="51FB06BF" w:rsidR="00541B07" w:rsidRPr="0053117A" w:rsidRDefault="00541B07" w:rsidP="002805FF">
      <w:pPr>
        <w:pStyle w:val="ListParagraph"/>
        <w:numPr>
          <w:ilvl w:val="0"/>
          <w:numId w:val="48"/>
        </w:numPr>
        <w:spacing w:before="120" w:after="120"/>
        <w:ind w:left="714" w:hanging="357"/>
        <w:contextualSpacing w:val="0"/>
        <w:jc w:val="both"/>
        <w:rPr>
          <w:lang w:val="en-US"/>
        </w:rPr>
      </w:pPr>
      <w:r w:rsidRPr="002805FF">
        <w:rPr>
          <w:lang w:val="en-US"/>
        </w:rPr>
        <w:t>A parcel service for shipment of the transfer comparison device from BfS to the participating laboratory and back to BfS should be ordered.</w:t>
      </w:r>
    </w:p>
    <w:p w14:paraId="263EB491" w14:textId="68D60372" w:rsidR="00541B07" w:rsidRDefault="00541B07" w:rsidP="002805FF">
      <w:pPr>
        <w:pStyle w:val="ListParagraph"/>
        <w:numPr>
          <w:ilvl w:val="0"/>
          <w:numId w:val="48"/>
        </w:numPr>
        <w:spacing w:before="120" w:after="120"/>
        <w:ind w:left="714" w:hanging="357"/>
        <w:contextualSpacing w:val="0"/>
        <w:jc w:val="both"/>
        <w:rPr>
          <w:lang w:val="en-US"/>
        </w:rPr>
      </w:pPr>
      <w:r w:rsidRPr="00541B07">
        <w:rPr>
          <w:lang w:val="en-US"/>
        </w:rPr>
        <w:t xml:space="preserve">The device and accessories </w:t>
      </w:r>
      <w:r>
        <w:rPr>
          <w:lang w:val="en-US"/>
        </w:rPr>
        <w:t>should be</w:t>
      </w:r>
      <w:r w:rsidRPr="00541B07">
        <w:rPr>
          <w:lang w:val="en-US"/>
        </w:rPr>
        <w:t xml:space="preserve"> packed safely and shipped in a transport box. A list of every item shipped </w:t>
      </w:r>
      <w:r w:rsidR="00775B52">
        <w:rPr>
          <w:lang w:val="en-US"/>
        </w:rPr>
        <w:t xml:space="preserve">should </w:t>
      </w:r>
      <w:r w:rsidRPr="00541B07">
        <w:rPr>
          <w:lang w:val="en-US"/>
        </w:rPr>
        <w:t>be included.</w:t>
      </w:r>
      <w:r w:rsidR="00775B52">
        <w:rPr>
          <w:lang w:val="en-US"/>
        </w:rPr>
        <w:t xml:space="preserve"> </w:t>
      </w:r>
      <w:r w:rsidR="00775B52" w:rsidRPr="00775B52">
        <w:rPr>
          <w:lang w:val="en-US"/>
        </w:rPr>
        <w:t>During transport, the device shall be turned off.</w:t>
      </w:r>
    </w:p>
    <w:p w14:paraId="754DAAA9" w14:textId="36CDB2B2" w:rsidR="00775B52" w:rsidRPr="002805FF" w:rsidRDefault="00775B52" w:rsidP="002805FF">
      <w:pPr>
        <w:pStyle w:val="ListParagraph"/>
        <w:numPr>
          <w:ilvl w:val="0"/>
          <w:numId w:val="48"/>
        </w:numPr>
        <w:spacing w:before="120" w:after="120" w:line="259" w:lineRule="auto"/>
        <w:ind w:left="714" w:hanging="357"/>
        <w:contextualSpacing w:val="0"/>
        <w:rPr>
          <w:lang w:val="en-US"/>
        </w:rPr>
      </w:pPr>
      <w:r w:rsidRPr="002805FF">
        <w:rPr>
          <w:lang w:val="en-US"/>
        </w:rPr>
        <w:t>After receipt of the transfer comparison device, the participating laboratory should check it for intactness. The device will be delivered with fully charged battery. The data memory will be empty.</w:t>
      </w:r>
    </w:p>
    <w:p w14:paraId="089B12EB" w14:textId="226D6B43" w:rsidR="00775B52" w:rsidRPr="002805FF" w:rsidRDefault="00775B52" w:rsidP="002805FF">
      <w:pPr>
        <w:pStyle w:val="ListParagraph"/>
        <w:numPr>
          <w:ilvl w:val="0"/>
          <w:numId w:val="48"/>
        </w:numPr>
        <w:spacing w:before="120" w:after="120" w:line="259" w:lineRule="auto"/>
        <w:ind w:left="714" w:hanging="357"/>
        <w:contextualSpacing w:val="0"/>
        <w:rPr>
          <w:lang w:val="en-US"/>
        </w:rPr>
      </w:pPr>
      <w:r w:rsidRPr="002805FF">
        <w:rPr>
          <w:lang w:val="en-US"/>
        </w:rPr>
        <w:t>The device is capable for operation without external power supply over several days. In order to recharge the battery or to operate under continuous external power, a power supply will be provided.</w:t>
      </w:r>
    </w:p>
    <w:p w14:paraId="77760ED2" w14:textId="524CDE45" w:rsidR="00775B52" w:rsidRPr="002805FF" w:rsidRDefault="00775B52" w:rsidP="002805FF">
      <w:pPr>
        <w:pStyle w:val="ListParagraph"/>
        <w:numPr>
          <w:ilvl w:val="0"/>
          <w:numId w:val="48"/>
        </w:numPr>
        <w:spacing w:before="120" w:after="120" w:line="259" w:lineRule="auto"/>
        <w:ind w:left="714" w:hanging="357"/>
        <w:contextualSpacing w:val="0"/>
        <w:rPr>
          <w:lang w:val="en-US"/>
        </w:rPr>
      </w:pPr>
      <w:r w:rsidRPr="002805FF">
        <w:rPr>
          <w:lang w:val="en-US"/>
        </w:rPr>
        <w:t>The participating laboratory should not change any of the settings. Even the background of the device will be already determined by BfS. Although ALPHAGUARD provides measurements of the temperature, the humidity and the air pressure, these measurements are not evaluated and discarded. Climatic parameter should be monitored by the laboratory with its own equipment.</w:t>
      </w:r>
    </w:p>
    <w:p w14:paraId="66D6731A" w14:textId="77777777" w:rsidR="00775B52" w:rsidRPr="002805FF" w:rsidRDefault="00775B52" w:rsidP="002805FF">
      <w:pPr>
        <w:pStyle w:val="ListParagraph"/>
        <w:numPr>
          <w:ilvl w:val="0"/>
          <w:numId w:val="48"/>
        </w:numPr>
        <w:spacing w:before="120" w:after="120" w:line="259" w:lineRule="auto"/>
        <w:ind w:left="714" w:hanging="357"/>
        <w:contextualSpacing w:val="0"/>
        <w:rPr>
          <w:lang w:val="en-US"/>
        </w:rPr>
      </w:pPr>
      <w:r w:rsidRPr="002805FF">
        <w:rPr>
          <w:lang w:val="en-US"/>
        </w:rPr>
        <w:t>When turning on the transfer comparison device, an initializing phase starts, which lasts about 10 minutes. After this, the device is in the operation mode, taking measurements of the radon activity concentration. The device indicates 90% of the radon activity concentration after 30 minutes. The laboratory should check the indication of date and time. If necessary, the laboratory should record the time indicated by the device and the local time, as well.</w:t>
      </w:r>
    </w:p>
    <w:p w14:paraId="004F2828" w14:textId="537C6EDC" w:rsidR="00775B52" w:rsidRPr="0053117A" w:rsidRDefault="00775B52" w:rsidP="002805FF">
      <w:pPr>
        <w:pStyle w:val="ListParagraph"/>
        <w:numPr>
          <w:ilvl w:val="0"/>
          <w:numId w:val="48"/>
        </w:numPr>
        <w:spacing w:before="120" w:after="120"/>
        <w:ind w:left="714" w:hanging="357"/>
        <w:contextualSpacing w:val="0"/>
        <w:jc w:val="both"/>
        <w:rPr>
          <w:lang w:val="en-US"/>
        </w:rPr>
      </w:pPr>
      <w:r w:rsidRPr="002805FF">
        <w:rPr>
          <w:lang w:val="en-US"/>
        </w:rPr>
        <w:t>The transfer comparison device should to be placed in the corresponding radon atmosphere to perform exposures in agreement with the procedures of the laboratory. The device has to be exposed in three radon atmospheres each with different radon activity concentration.</w:t>
      </w:r>
    </w:p>
    <w:p w14:paraId="7D0ED54A" w14:textId="77777777" w:rsidR="00775B52" w:rsidRPr="002805FF" w:rsidRDefault="00775B52" w:rsidP="002805FF">
      <w:pPr>
        <w:pStyle w:val="ListParagraph"/>
        <w:numPr>
          <w:ilvl w:val="0"/>
          <w:numId w:val="48"/>
        </w:numPr>
        <w:spacing w:before="120" w:after="120" w:line="259" w:lineRule="auto"/>
        <w:ind w:left="714" w:hanging="357"/>
        <w:contextualSpacing w:val="0"/>
        <w:rPr>
          <w:lang w:val="en-US"/>
        </w:rPr>
      </w:pPr>
      <w:r w:rsidRPr="002805FF">
        <w:rPr>
          <w:lang w:val="en-US"/>
        </w:rPr>
        <w:t>The records on the intercomparison should be delivered to BfS.</w:t>
      </w:r>
    </w:p>
    <w:p w14:paraId="33247067" w14:textId="52E6D88F" w:rsidR="00775B52" w:rsidRPr="002805FF" w:rsidRDefault="00775B52" w:rsidP="002805FF">
      <w:pPr>
        <w:pStyle w:val="ListParagraph"/>
        <w:numPr>
          <w:ilvl w:val="0"/>
          <w:numId w:val="48"/>
        </w:numPr>
        <w:spacing w:before="120" w:after="120" w:line="259" w:lineRule="auto"/>
        <w:ind w:left="714" w:hanging="357"/>
        <w:contextualSpacing w:val="0"/>
        <w:rPr>
          <w:lang w:val="en-US"/>
        </w:rPr>
      </w:pPr>
      <w:r w:rsidRPr="002805FF">
        <w:rPr>
          <w:lang w:val="en-US"/>
        </w:rPr>
        <w:t>The laboratory will issue a report on the intercomparison. The report shall contain the following information at least:</w:t>
      </w:r>
    </w:p>
    <w:p w14:paraId="58A26E2F" w14:textId="77777777" w:rsidR="00775B52" w:rsidRDefault="00775B52" w:rsidP="00775B52">
      <w:pPr>
        <w:pStyle w:val="ListParagraph"/>
        <w:numPr>
          <w:ilvl w:val="2"/>
          <w:numId w:val="48"/>
        </w:numPr>
        <w:spacing w:after="160" w:line="259" w:lineRule="auto"/>
        <w:rPr>
          <w:rFonts w:asciiTheme="minorHAnsi" w:eastAsia="Calibri" w:hAnsiTheme="minorHAnsi" w:cstheme="minorHAnsi"/>
          <w:lang w:val="en-US"/>
        </w:rPr>
      </w:pPr>
      <w:r w:rsidRPr="0053117A">
        <w:rPr>
          <w:rFonts w:asciiTheme="minorHAnsi" w:eastAsia="Calibri" w:hAnsiTheme="minorHAnsi" w:cstheme="minorHAnsi"/>
          <w:lang w:val="en-US"/>
        </w:rPr>
        <w:t>name and address of the laboratory</w:t>
      </w:r>
    </w:p>
    <w:p w14:paraId="281279D3" w14:textId="77777777" w:rsidR="00775B52" w:rsidRDefault="00775B52" w:rsidP="00775B52">
      <w:pPr>
        <w:pStyle w:val="ListParagraph"/>
        <w:numPr>
          <w:ilvl w:val="2"/>
          <w:numId w:val="48"/>
        </w:numPr>
        <w:spacing w:after="160" w:line="259" w:lineRule="auto"/>
        <w:rPr>
          <w:rFonts w:asciiTheme="minorHAnsi" w:eastAsia="Calibri" w:hAnsiTheme="minorHAnsi" w:cstheme="minorHAnsi"/>
          <w:lang w:val="en-US"/>
        </w:rPr>
      </w:pPr>
      <w:r w:rsidRPr="0053117A">
        <w:rPr>
          <w:rFonts w:asciiTheme="minorHAnsi" w:eastAsia="Calibri" w:hAnsiTheme="minorHAnsi" w:cstheme="minorHAnsi"/>
          <w:lang w:val="en-US"/>
        </w:rPr>
        <w:t>name and e-mail of the person(s) in charge</w:t>
      </w:r>
    </w:p>
    <w:p w14:paraId="790F8177" w14:textId="77777777" w:rsidR="00775B52" w:rsidRDefault="00775B52" w:rsidP="00775B52">
      <w:pPr>
        <w:pStyle w:val="ListParagraph"/>
        <w:numPr>
          <w:ilvl w:val="2"/>
          <w:numId w:val="48"/>
        </w:numPr>
        <w:spacing w:after="160" w:line="259" w:lineRule="auto"/>
        <w:rPr>
          <w:rFonts w:asciiTheme="minorHAnsi" w:eastAsia="Calibri" w:hAnsiTheme="minorHAnsi" w:cstheme="minorHAnsi"/>
          <w:lang w:val="en-US"/>
        </w:rPr>
      </w:pPr>
      <w:r w:rsidRPr="0053117A">
        <w:rPr>
          <w:rFonts w:asciiTheme="minorHAnsi" w:eastAsia="Calibri" w:hAnsiTheme="minorHAnsi" w:cstheme="minorHAnsi"/>
          <w:lang w:val="en-US"/>
        </w:rPr>
        <w:lastRenderedPageBreak/>
        <w:t>a short description of the procedures of the laboratory, information about the local reference instrument for the radon activity concentration, information about traceability to primary standards</w:t>
      </w:r>
    </w:p>
    <w:p w14:paraId="1F5B6DBB" w14:textId="77777777" w:rsidR="00775B52" w:rsidRDefault="00775B52" w:rsidP="00775B52">
      <w:pPr>
        <w:pStyle w:val="ListParagraph"/>
        <w:numPr>
          <w:ilvl w:val="2"/>
          <w:numId w:val="48"/>
        </w:numPr>
        <w:spacing w:after="160" w:line="259" w:lineRule="auto"/>
        <w:rPr>
          <w:rFonts w:asciiTheme="minorHAnsi" w:eastAsia="Calibri" w:hAnsiTheme="minorHAnsi" w:cstheme="minorHAnsi"/>
          <w:lang w:val="en-US"/>
        </w:rPr>
      </w:pPr>
      <w:r w:rsidRPr="0053117A">
        <w:rPr>
          <w:rFonts w:asciiTheme="minorHAnsi" w:eastAsia="Calibri" w:hAnsiTheme="minorHAnsi" w:cstheme="minorHAnsi"/>
          <w:lang w:val="en-US"/>
        </w:rPr>
        <w:t>operating conditions during the exposures: average values of temperature, rel. humidity and air pressure</w:t>
      </w:r>
    </w:p>
    <w:p w14:paraId="7094B511" w14:textId="6D70E704" w:rsidR="00775B52" w:rsidRPr="0053117A" w:rsidRDefault="00775B52" w:rsidP="0053117A">
      <w:pPr>
        <w:pStyle w:val="ListParagraph"/>
        <w:numPr>
          <w:ilvl w:val="2"/>
          <w:numId w:val="48"/>
        </w:numPr>
        <w:spacing w:after="160" w:line="259" w:lineRule="auto"/>
        <w:rPr>
          <w:rFonts w:asciiTheme="minorHAnsi" w:eastAsia="Calibri" w:hAnsiTheme="minorHAnsi" w:cstheme="minorHAnsi"/>
          <w:lang w:val="en-US"/>
        </w:rPr>
      </w:pPr>
      <w:r w:rsidRPr="0053117A">
        <w:rPr>
          <w:rFonts w:asciiTheme="minorHAnsi" w:eastAsia="Calibri" w:hAnsiTheme="minorHAnsi" w:cstheme="minorHAnsi"/>
          <w:lang w:val="en-US"/>
        </w:rPr>
        <w:t>measurement results specified for each exposure:</w:t>
      </w:r>
    </w:p>
    <w:p w14:paraId="5047FCCE" w14:textId="77777777" w:rsidR="00D844FB" w:rsidRDefault="00775B52" w:rsidP="00D844FB">
      <w:pPr>
        <w:pStyle w:val="ListParagraph"/>
        <w:numPr>
          <w:ilvl w:val="3"/>
          <w:numId w:val="48"/>
        </w:numPr>
        <w:spacing w:after="160" w:line="259" w:lineRule="auto"/>
        <w:rPr>
          <w:rFonts w:asciiTheme="minorHAnsi" w:eastAsia="Calibri" w:hAnsiTheme="minorHAnsi" w:cstheme="minorHAnsi"/>
          <w:lang w:val="en-US"/>
        </w:rPr>
      </w:pPr>
      <w:r w:rsidRPr="0053117A">
        <w:rPr>
          <w:rFonts w:asciiTheme="minorHAnsi" w:eastAsia="Calibri" w:hAnsiTheme="minorHAnsi" w:cstheme="minorHAnsi"/>
          <w:lang w:val="en-US"/>
        </w:rPr>
        <w:t>The mean value of radon activity concentration measured by the transfer comparison device. This value is determined from the collocated list of single measurement data provided by BfS after reading out the data from the device. The single measurement data are provided with a correction for background and the application of the calibration factor of BfS.</w:t>
      </w:r>
    </w:p>
    <w:p w14:paraId="42F3EE04" w14:textId="77777777" w:rsidR="00D844FB" w:rsidRDefault="00775B52" w:rsidP="00D844FB">
      <w:pPr>
        <w:pStyle w:val="ListParagraph"/>
        <w:numPr>
          <w:ilvl w:val="3"/>
          <w:numId w:val="48"/>
        </w:numPr>
        <w:spacing w:after="160" w:line="259" w:lineRule="auto"/>
        <w:rPr>
          <w:rFonts w:asciiTheme="minorHAnsi" w:eastAsia="Calibri" w:hAnsiTheme="minorHAnsi" w:cstheme="minorHAnsi"/>
          <w:lang w:val="en-US"/>
        </w:rPr>
      </w:pPr>
      <w:r w:rsidRPr="0053117A">
        <w:rPr>
          <w:rFonts w:asciiTheme="minorHAnsi" w:eastAsia="Calibri" w:hAnsiTheme="minorHAnsi" w:cstheme="minorHAnsi"/>
          <w:lang w:val="en-US"/>
        </w:rPr>
        <w:t>The measurement uncertainty of the value given under item.</w:t>
      </w:r>
    </w:p>
    <w:p w14:paraId="553BFD0E" w14:textId="77777777" w:rsidR="00D844FB" w:rsidRDefault="00775B52" w:rsidP="00D844FB">
      <w:pPr>
        <w:pStyle w:val="ListParagraph"/>
        <w:numPr>
          <w:ilvl w:val="3"/>
          <w:numId w:val="48"/>
        </w:numPr>
        <w:spacing w:after="160" w:line="259" w:lineRule="auto"/>
        <w:rPr>
          <w:rFonts w:asciiTheme="minorHAnsi" w:eastAsia="Calibri" w:hAnsiTheme="minorHAnsi" w:cstheme="minorHAnsi"/>
          <w:lang w:val="en-US"/>
        </w:rPr>
      </w:pPr>
      <w:r w:rsidRPr="0053117A">
        <w:rPr>
          <w:rFonts w:asciiTheme="minorHAnsi" w:eastAsia="Calibri" w:hAnsiTheme="minorHAnsi" w:cstheme="minorHAnsi"/>
          <w:lang w:val="en-US"/>
        </w:rPr>
        <w:t>The mean value of the radon activity concentration established in the radon atmosphere of the laboratory. This value is determined with the equipment of the laboratory.</w:t>
      </w:r>
    </w:p>
    <w:p w14:paraId="5880462C" w14:textId="3F050584" w:rsidR="00775B52" w:rsidRPr="0053117A" w:rsidRDefault="00775B52" w:rsidP="0053117A">
      <w:pPr>
        <w:pStyle w:val="ListParagraph"/>
        <w:numPr>
          <w:ilvl w:val="3"/>
          <w:numId w:val="48"/>
        </w:numPr>
        <w:spacing w:after="160" w:line="259" w:lineRule="auto"/>
        <w:rPr>
          <w:rFonts w:asciiTheme="minorHAnsi" w:eastAsia="Calibri" w:hAnsiTheme="minorHAnsi" w:cstheme="minorHAnsi"/>
          <w:lang w:val="en-US"/>
        </w:rPr>
      </w:pPr>
      <w:r w:rsidRPr="0053117A">
        <w:rPr>
          <w:rFonts w:asciiTheme="minorHAnsi" w:eastAsia="Calibri" w:hAnsiTheme="minorHAnsi" w:cstheme="minorHAnsi"/>
          <w:lang w:val="en-US"/>
        </w:rPr>
        <w:t>The measurement uncertainty of the value given under ite</w:t>
      </w:r>
      <w:r w:rsidR="00D844FB">
        <w:rPr>
          <w:rFonts w:asciiTheme="minorHAnsi" w:eastAsia="Calibri" w:hAnsiTheme="minorHAnsi" w:cstheme="minorHAnsi"/>
          <w:lang w:val="en-US"/>
        </w:rPr>
        <w:t>m</w:t>
      </w:r>
      <w:r w:rsidRPr="0053117A">
        <w:rPr>
          <w:rFonts w:asciiTheme="minorHAnsi" w:eastAsia="Calibri" w:hAnsiTheme="minorHAnsi" w:cstheme="minorHAnsi"/>
          <w:lang w:val="en-US"/>
        </w:rPr>
        <w:t>.</w:t>
      </w:r>
    </w:p>
    <w:p w14:paraId="2D0AFD5B" w14:textId="77777777" w:rsidR="00D844FB" w:rsidRPr="00D844FB" w:rsidRDefault="00D844FB" w:rsidP="002805FF">
      <w:pPr>
        <w:pStyle w:val="ListParagraph"/>
        <w:numPr>
          <w:ilvl w:val="0"/>
          <w:numId w:val="48"/>
        </w:numPr>
        <w:spacing w:before="120" w:after="120" w:line="259" w:lineRule="auto"/>
        <w:ind w:left="714" w:hanging="357"/>
        <w:contextualSpacing w:val="0"/>
        <w:rPr>
          <w:rFonts w:asciiTheme="minorHAnsi" w:eastAsia="Calibri" w:hAnsiTheme="minorHAnsi" w:cstheme="minorHAnsi"/>
          <w:lang w:val="en-US"/>
        </w:rPr>
      </w:pPr>
      <w:r w:rsidRPr="00D844FB">
        <w:rPr>
          <w:rFonts w:asciiTheme="minorHAnsi" w:eastAsia="Calibri" w:hAnsiTheme="minorHAnsi" w:cstheme="minorHAnsi"/>
          <w:lang w:val="en-US"/>
        </w:rPr>
        <w:t>The measurement uncertainties shall be given as expanded uncertainties resulting from the standard uncertainties of measurement multiplied by a coverage factor k=2.</w:t>
      </w:r>
    </w:p>
    <w:p w14:paraId="67B5DB3D" w14:textId="183E1F97" w:rsidR="00775B52" w:rsidRPr="00541B07" w:rsidRDefault="00D844FB" w:rsidP="002805FF">
      <w:pPr>
        <w:pStyle w:val="ListParagraph"/>
        <w:numPr>
          <w:ilvl w:val="0"/>
          <w:numId w:val="48"/>
        </w:numPr>
        <w:spacing w:before="120" w:after="120"/>
        <w:ind w:left="714" w:hanging="357"/>
        <w:contextualSpacing w:val="0"/>
        <w:jc w:val="both"/>
        <w:rPr>
          <w:lang w:val="en-US"/>
        </w:rPr>
      </w:pPr>
      <w:r w:rsidRPr="00D844FB">
        <w:rPr>
          <w:lang w:val="en-US"/>
        </w:rPr>
        <w:t>The report of results shall be delivered to BfS via e-mail</w:t>
      </w:r>
      <w:r>
        <w:rPr>
          <w:lang w:val="en-US"/>
        </w:rPr>
        <w:t>: tbeck@bfs.de</w:t>
      </w:r>
    </w:p>
    <w:p w14:paraId="06476C25" w14:textId="77777777" w:rsidR="007020A5" w:rsidRDefault="007020A5" w:rsidP="007020A5">
      <w:pPr>
        <w:pStyle w:val="Heading1"/>
        <w:spacing w:before="360" w:after="120" w:line="360" w:lineRule="auto"/>
        <w:rPr>
          <w:lang w:val="en-US"/>
        </w:rPr>
      </w:pPr>
      <w:bookmarkStart w:id="933" w:name="_Toc49153313"/>
      <w:r>
        <w:rPr>
          <w:lang w:val="en-US"/>
        </w:rPr>
        <w:t>Reference laboratories and contacts</w:t>
      </w:r>
      <w:bookmarkEnd w:id="933"/>
    </w:p>
    <w:p w14:paraId="7D0C75D2" w14:textId="77777777" w:rsidR="007020A5" w:rsidRDefault="007020A5" w:rsidP="007020A5">
      <w:pPr>
        <w:pStyle w:val="Heading2"/>
        <w:rPr>
          <w:lang w:val="en-US"/>
        </w:rPr>
      </w:pPr>
      <w:bookmarkStart w:id="934" w:name="_Toc49153314"/>
      <w:r>
        <w:rPr>
          <w:lang w:val="en-US"/>
        </w:rPr>
        <w:t>BfS</w:t>
      </w:r>
      <w:bookmarkEnd w:id="934"/>
    </w:p>
    <w:p w14:paraId="6210E3D6" w14:textId="77777777" w:rsidR="007020A5" w:rsidRDefault="007020A5" w:rsidP="007020A5">
      <w:pPr>
        <w:spacing w:before="120" w:after="0"/>
        <w:jc w:val="both"/>
        <w:rPr>
          <w:lang w:val="en-US"/>
        </w:rPr>
      </w:pPr>
      <w:r>
        <w:rPr>
          <w:lang w:val="en-US"/>
        </w:rPr>
        <w:t xml:space="preserve">BfS is a higher federal authority in the portfolio of the German Federal Ministry for the Environment, Nature Conservation, Building and Nuclear Safety (BMUB). BfS has the aim to pool competences in the fields of radiation protection, nuclear safety, transport and storage of nuclear fuels, and radioactive waste disposal. BfS is involved in the implementation of the Council Directive 2013/59/Euratom into national legislation and is developing methods to identify radon priority areas. BfS maintains a calibration service laboratory accredited for the measuring quantities "activity concentration of </w:t>
      </w:r>
      <w:r>
        <w:rPr>
          <w:vertAlign w:val="superscript"/>
          <w:lang w:val="en-US"/>
        </w:rPr>
        <w:t>222</w:t>
      </w:r>
      <w:r>
        <w:rPr>
          <w:lang w:val="en-US"/>
        </w:rPr>
        <w:t xml:space="preserve">Rn in air" and "potential alpha energy concentration” (PAEC) of the short-lived </w:t>
      </w:r>
      <w:r>
        <w:rPr>
          <w:vertAlign w:val="superscript"/>
          <w:lang w:val="en-US"/>
        </w:rPr>
        <w:t>222</w:t>
      </w:r>
      <w:r>
        <w:rPr>
          <w:lang w:val="en-US"/>
        </w:rPr>
        <w:t xml:space="preserve">Rn progenies. </w:t>
      </w:r>
    </w:p>
    <w:p w14:paraId="3D016DF9" w14:textId="3CF465B5" w:rsidR="007020A5" w:rsidRDefault="007020A5" w:rsidP="007020A5">
      <w:pPr>
        <w:spacing w:before="120" w:after="0"/>
        <w:jc w:val="both"/>
        <w:rPr>
          <w:lang w:val="en-US"/>
        </w:rPr>
      </w:pPr>
      <w:r>
        <w:rPr>
          <w:lang w:val="en-US"/>
        </w:rPr>
        <w:t xml:space="preserve">BfS (reference laboratory for the comparison in the ranges from 300 </w:t>
      </w:r>
      <w:r w:rsidR="002805FF">
        <w:rPr>
          <w:lang w:val="en-US"/>
        </w:rPr>
        <w:t>Bq/m</w:t>
      </w:r>
      <w:r w:rsidR="002805FF">
        <w:rPr>
          <w:vertAlign w:val="superscript"/>
          <w:lang w:val="en-US"/>
        </w:rPr>
        <w:t>3</w:t>
      </w:r>
      <w:r>
        <w:rPr>
          <w:lang w:val="en-US"/>
        </w:rPr>
        <w:t xml:space="preserve"> to 10 000 </w:t>
      </w:r>
      <w:r w:rsidR="002805FF">
        <w:rPr>
          <w:lang w:val="en-US"/>
        </w:rPr>
        <w:t>Bq/m</w:t>
      </w:r>
      <w:r w:rsidR="002805FF">
        <w:rPr>
          <w:vertAlign w:val="superscript"/>
          <w:lang w:val="en-US"/>
        </w:rPr>
        <w:t>3</w:t>
      </w:r>
      <w:r>
        <w:rPr>
          <w:lang w:val="en-US"/>
        </w:rPr>
        <w:t>) selected an electronic instrument of the type AlphaGUARD as a comparison device for the verification. The device was sent to each participant. The participants had to expose the comparison device at three different levels of radon</w:t>
      </w:r>
      <w:r w:rsidR="002805FF">
        <w:rPr>
          <w:lang w:val="en-US"/>
        </w:rPr>
        <w:t xml:space="preserve"> activity concentration: 400 Bq/</w:t>
      </w:r>
      <w:r>
        <w:rPr>
          <w:lang w:val="en-US"/>
        </w:rPr>
        <w:t>m</w:t>
      </w:r>
      <w:r>
        <w:rPr>
          <w:vertAlign w:val="superscript"/>
          <w:lang w:val="en-US"/>
        </w:rPr>
        <w:t>3</w:t>
      </w:r>
      <w:r w:rsidR="002805FF">
        <w:rPr>
          <w:lang w:val="en-US"/>
        </w:rPr>
        <w:t>, 1 000 Bq/</w:t>
      </w:r>
      <w:r>
        <w:rPr>
          <w:lang w:val="en-US"/>
        </w:rPr>
        <w:t>m</w:t>
      </w:r>
      <w:r>
        <w:rPr>
          <w:vertAlign w:val="superscript"/>
          <w:lang w:val="en-US"/>
        </w:rPr>
        <w:t xml:space="preserve">3 </w:t>
      </w:r>
      <w:r w:rsidR="002805FF">
        <w:rPr>
          <w:lang w:val="en-US"/>
        </w:rPr>
        <w:t>and 6 000 Bq/</w:t>
      </w:r>
      <w:r>
        <w:rPr>
          <w:lang w:val="en-US"/>
        </w:rPr>
        <w:t>m</w:t>
      </w:r>
      <w:r>
        <w:rPr>
          <w:vertAlign w:val="superscript"/>
          <w:lang w:val="en-US"/>
        </w:rPr>
        <w:t>3</w:t>
      </w:r>
      <w:r>
        <w:rPr>
          <w:lang w:val="en-US"/>
        </w:rPr>
        <w:t>.</w:t>
      </w:r>
    </w:p>
    <w:p w14:paraId="7AE4AC24" w14:textId="77777777" w:rsidR="007020A5" w:rsidRDefault="007020A5" w:rsidP="007020A5">
      <w:pPr>
        <w:spacing w:before="120" w:after="0"/>
        <w:jc w:val="both"/>
        <w:rPr>
          <w:lang w:val="en-US"/>
        </w:rPr>
      </w:pPr>
      <w:r>
        <w:rPr>
          <w:i/>
          <w:lang w:val="en-US"/>
        </w:rPr>
        <w:t>Contacts:</w:t>
      </w:r>
      <w:r>
        <w:rPr>
          <w:lang w:val="en-US"/>
        </w:rPr>
        <w:tab/>
        <w:t>e-mail: tbeck@bfs.de</w:t>
      </w:r>
    </w:p>
    <w:p w14:paraId="31ACD43E" w14:textId="77777777" w:rsidR="007020A5" w:rsidRDefault="007020A5" w:rsidP="007020A5">
      <w:pPr>
        <w:spacing w:before="120" w:after="0"/>
        <w:ind w:left="708" w:firstLine="708"/>
        <w:jc w:val="both"/>
        <w:rPr>
          <w:lang w:val="en-US"/>
        </w:rPr>
      </w:pPr>
      <w:r>
        <w:rPr>
          <w:lang w:val="en-US"/>
        </w:rPr>
        <w:t>www.bfs.de</w:t>
      </w:r>
    </w:p>
    <w:p w14:paraId="4E572F68" w14:textId="77777777" w:rsidR="007020A5" w:rsidRDefault="007020A5" w:rsidP="007020A5">
      <w:pPr>
        <w:pStyle w:val="Heading2"/>
        <w:rPr>
          <w:lang w:val="en-US"/>
        </w:rPr>
      </w:pPr>
      <w:bookmarkStart w:id="935" w:name="_Toc49153315"/>
      <w:r>
        <w:rPr>
          <w:lang w:val="en-US"/>
        </w:rPr>
        <w:t>SUJCHBO</w:t>
      </w:r>
      <w:bookmarkEnd w:id="935"/>
    </w:p>
    <w:p w14:paraId="01C27D4E" w14:textId="77777777" w:rsidR="007020A5" w:rsidRDefault="007020A5" w:rsidP="007020A5">
      <w:pPr>
        <w:spacing w:before="120" w:after="0"/>
        <w:jc w:val="both"/>
        <w:rPr>
          <w:lang w:val="en-US"/>
        </w:rPr>
      </w:pPr>
      <w:r>
        <w:rPr>
          <w:lang w:val="en-US"/>
        </w:rPr>
        <w:t xml:space="preserve">SÚJCHBO is the Czech National Institute for Nuclear, Chemical, and Biological Protection with responsibility for the development and research in the field of chemical, biological and radioactive agents. One of laboratories is engaged in the measurement and the evaluation of natural radioactivity with a special concern for the measurement of radon and its decay products. Such laboratories had a long tradition, starting in 1954. The Authorized Metrological Centre (AMS) is the only laboratory in the Czech Republic for calibration and testing of the instruments that measure the radon air concentration and the energy equivalent radon concentration </w:t>
      </w:r>
      <w:r>
        <w:rPr>
          <w:lang w:val="en-US"/>
        </w:rPr>
        <w:lastRenderedPageBreak/>
        <w:t>connected with the radon decay products. Radon Measurement Laboratory is a division of the Nuclear Protection Department.</w:t>
      </w:r>
    </w:p>
    <w:p w14:paraId="1D4DC89E" w14:textId="2BC220F1" w:rsidR="007020A5" w:rsidRDefault="007020A5" w:rsidP="007020A5">
      <w:pPr>
        <w:spacing w:before="120" w:after="0"/>
        <w:jc w:val="both"/>
        <w:rPr>
          <w:lang w:val="en-US"/>
        </w:rPr>
      </w:pPr>
      <w:r>
        <w:rPr>
          <w:lang w:val="en-US"/>
        </w:rPr>
        <w:t>To verify the secondary standards of European calibration laboratories, which are used for the calibration of end-user devices, SUJCHBO was selected as reference laboratory. As part of the WP1 task, SUJCHBO in cooperation with the Czech Metrology Institute, Prague (CMI) have developed a device for the calibration of measuring devices at low-level radon activity concentrations (Low-Level Radon Chamber, LLRCH). The equipment consists of a radon chamber LLRCH (Low-Level Radon Chamber) with a volume of 324 liters, a flow-through source of radon with an activity of 4 955 Bq, a calibrated mass flow controller type Bronkhorst EL-Flow and a humidifier. The equipment meets the condition of relative uncertainty less than 5 % (k = 1) for calibration of measuring instruments at low-level radon activity concentrations (100 Bq.m</w:t>
      </w:r>
      <w:r>
        <w:rPr>
          <w:vertAlign w:val="superscript"/>
          <w:lang w:val="en-US"/>
        </w:rPr>
        <w:t>-3</w:t>
      </w:r>
      <w:r w:rsidR="002805FF">
        <w:rPr>
          <w:lang w:val="en-US"/>
        </w:rPr>
        <w:t>to 300 Bq/</w:t>
      </w:r>
      <w:r>
        <w:rPr>
          <w:vertAlign w:val="superscript"/>
          <w:lang w:val="en-US"/>
        </w:rPr>
        <w:t>3</w:t>
      </w:r>
      <w:r>
        <w:rPr>
          <w:lang w:val="en-US"/>
        </w:rPr>
        <w:t>).</w:t>
      </w:r>
    </w:p>
    <w:p w14:paraId="4C16207B" w14:textId="77777777" w:rsidR="007020A5" w:rsidRDefault="007020A5" w:rsidP="007020A5">
      <w:pPr>
        <w:spacing w:before="120" w:after="0"/>
        <w:jc w:val="both"/>
        <w:rPr>
          <w:lang w:val="en-US"/>
        </w:rPr>
      </w:pPr>
      <w:r>
        <w:rPr>
          <w:i/>
          <w:lang w:val="en-US"/>
        </w:rPr>
        <w:t>Contacts:</w:t>
      </w:r>
      <w:r>
        <w:rPr>
          <w:lang w:val="en-US"/>
        </w:rPr>
        <w:tab/>
        <w:t>e-mail: otahal@sujchbo.cz</w:t>
      </w:r>
      <w:r>
        <w:rPr>
          <w:lang w:val="en-US"/>
        </w:rPr>
        <w:tab/>
      </w:r>
      <w:r>
        <w:rPr>
          <w:lang w:val="en-US"/>
        </w:rPr>
        <w:tab/>
        <w:t>e-mail: vosahlik@sujchbo.cz</w:t>
      </w:r>
    </w:p>
    <w:p w14:paraId="07E8D951" w14:textId="77777777" w:rsidR="007020A5" w:rsidRDefault="007020A5" w:rsidP="007020A5">
      <w:pPr>
        <w:spacing w:before="120" w:after="0"/>
        <w:ind w:left="708" w:firstLine="708"/>
        <w:jc w:val="both"/>
        <w:rPr>
          <w:lang w:val="en-US"/>
        </w:rPr>
      </w:pPr>
      <w:r>
        <w:rPr>
          <w:lang w:val="en-US"/>
        </w:rPr>
        <w:t>www.sujchbo.cz</w:t>
      </w:r>
    </w:p>
    <w:p w14:paraId="3C3228C4" w14:textId="77777777" w:rsidR="00B515C4" w:rsidRDefault="00B515C4" w:rsidP="000D2443">
      <w:pPr>
        <w:rPr>
          <w:lang w:val="en-US"/>
        </w:rPr>
      </w:pPr>
    </w:p>
    <w:p w14:paraId="59B2804E" w14:textId="2FF10AB3" w:rsidR="000F2360" w:rsidRDefault="000F2360" w:rsidP="000D2443">
      <w:pPr>
        <w:rPr>
          <w:lang w:val="en-US"/>
        </w:rPr>
      </w:pPr>
    </w:p>
    <w:p w14:paraId="4D34511D" w14:textId="5C48FD07" w:rsidR="000F2360" w:rsidRDefault="000F2360" w:rsidP="000F2360">
      <w:pPr>
        <w:pStyle w:val="Heading1"/>
        <w:rPr>
          <w:lang w:val="en-US"/>
        </w:rPr>
      </w:pPr>
      <w:bookmarkStart w:id="936" w:name="_Toc58936341"/>
      <w:r>
        <w:rPr>
          <w:lang w:val="en-US"/>
        </w:rPr>
        <w:t>References</w:t>
      </w:r>
      <w:bookmarkEnd w:id="936"/>
    </w:p>
    <w:p w14:paraId="771FE782" w14:textId="1FD902E7" w:rsidR="000F2360" w:rsidRDefault="000F2360" w:rsidP="000D2443">
      <w:pPr>
        <w:rPr>
          <w:lang w:val="en-US"/>
        </w:rPr>
      </w:pPr>
      <w:r w:rsidRPr="00582E85">
        <w:rPr>
          <w:lang w:val="de-DE"/>
        </w:rPr>
        <w:t>Röttger</w:t>
      </w:r>
      <w:r w:rsidR="0089071C">
        <w:t xml:space="preserve"> A. , </w:t>
      </w:r>
      <w:r w:rsidR="0089071C" w:rsidRPr="00582E85">
        <w:rPr>
          <w:lang w:val="de-DE"/>
        </w:rPr>
        <w:t xml:space="preserve">Honig A., Dersch R., Ott O., Arnold D., 2010. </w:t>
      </w:r>
      <w:r w:rsidRPr="000F2360">
        <w:rPr>
          <w:lang w:val="en-US"/>
        </w:rPr>
        <w:t>A primary standard for activity concentration of 220Rn (thoron) in air</w:t>
      </w:r>
      <w:r>
        <w:rPr>
          <w:lang w:val="en-US"/>
        </w:rPr>
        <w:t>,</w:t>
      </w:r>
      <w:r w:rsidRPr="000F2360">
        <w:rPr>
          <w:lang w:val="en-US"/>
        </w:rPr>
        <w:t xml:space="preserve"> Applied Radiation and Isotopes 68 (2010) 1292–1296,</w:t>
      </w:r>
      <w:r w:rsidR="0089071C" w:rsidRPr="00582E85">
        <w:rPr>
          <w:lang w:val="en-GB"/>
        </w:rPr>
        <w:t xml:space="preserve"> </w:t>
      </w:r>
      <w:hyperlink r:id="rId12" w:history="1">
        <w:r w:rsidR="0089071C" w:rsidRPr="00A06063">
          <w:rPr>
            <w:rStyle w:val="Hyperlink"/>
            <w:lang w:val="en-US"/>
          </w:rPr>
          <w:t>https://doi.org/10.1016/j.apradiso.2010.01.004</w:t>
        </w:r>
      </w:hyperlink>
    </w:p>
    <w:p w14:paraId="417740EB" w14:textId="635129E3" w:rsidR="00FE32CC" w:rsidRPr="00FE32CC" w:rsidRDefault="00FE32CC" w:rsidP="00FE32CC">
      <w:pPr>
        <w:rPr>
          <w:lang w:val="en-US"/>
        </w:rPr>
      </w:pPr>
      <w:r w:rsidRPr="00FE32CC">
        <w:rPr>
          <w:lang w:val="en-US"/>
        </w:rPr>
        <w:t>ISO/IEC 17025 General requirements for the competence of testing and calibration laboratories</w:t>
      </w:r>
      <w:r>
        <w:rPr>
          <w:lang w:val="en-US"/>
        </w:rPr>
        <w:t xml:space="preserve">. </w:t>
      </w:r>
      <w:r w:rsidRPr="00FE32CC">
        <w:rPr>
          <w:lang w:val="en-US"/>
        </w:rPr>
        <w:t>https://www.iso.org/standard/66912.html</w:t>
      </w:r>
    </w:p>
    <w:p w14:paraId="20D7EBB3" w14:textId="7D86C7AC" w:rsidR="00A659A8" w:rsidRPr="00582E85" w:rsidRDefault="00A659A8" w:rsidP="00A659A8">
      <w:pPr>
        <w:rPr>
          <w:lang w:val="en-GB"/>
        </w:rPr>
      </w:pPr>
      <w:r>
        <w:rPr>
          <w:lang w:val="en-US"/>
        </w:rPr>
        <w:t xml:space="preserve">IEC 61577-2:2014, </w:t>
      </w:r>
      <w:r w:rsidRPr="00A659A8">
        <w:rPr>
          <w:lang w:val="en-US"/>
        </w:rPr>
        <w:t>INTERNATIONAL ELECTROTECHNICAL COMMISSION</w:t>
      </w:r>
      <w:r>
        <w:rPr>
          <w:lang w:val="en-US"/>
        </w:rPr>
        <w:t xml:space="preserve">, </w:t>
      </w:r>
      <w:r w:rsidRPr="00A659A8">
        <w:rPr>
          <w:lang w:val="en-US"/>
        </w:rPr>
        <w:t xml:space="preserve">Radiation protection instrumentation - Radon and radon decay product measuring instruments - Part 2: Specific requirements for </w:t>
      </w:r>
      <w:r w:rsidRPr="00582E85">
        <w:rPr>
          <w:vertAlign w:val="superscript"/>
          <w:lang w:val="en-US"/>
        </w:rPr>
        <w:t>222</w:t>
      </w:r>
      <w:r w:rsidRPr="00A659A8">
        <w:rPr>
          <w:lang w:val="en-US"/>
        </w:rPr>
        <w:t xml:space="preserve">Rn and </w:t>
      </w:r>
      <w:r w:rsidRPr="00582E85">
        <w:rPr>
          <w:vertAlign w:val="superscript"/>
          <w:lang w:val="en-US"/>
        </w:rPr>
        <w:t>220</w:t>
      </w:r>
      <w:r w:rsidRPr="00A659A8">
        <w:rPr>
          <w:lang w:val="en-US"/>
        </w:rPr>
        <w:t>Rn measuring instruments</w:t>
      </w:r>
      <w:r>
        <w:rPr>
          <w:lang w:val="en-US"/>
        </w:rPr>
        <w:t xml:space="preserve">. </w:t>
      </w:r>
      <w:r w:rsidRPr="00582E85">
        <w:rPr>
          <w:lang w:val="en-GB"/>
        </w:rPr>
        <w:t xml:space="preserve">ISBN 978-2-8322-1675-0 </w:t>
      </w:r>
    </w:p>
    <w:p w14:paraId="031A62FD" w14:textId="3BC0DEBA" w:rsidR="00C64960" w:rsidRPr="00EA647D" w:rsidRDefault="00A659A8" w:rsidP="00A659A8">
      <w:pPr>
        <w:rPr>
          <w:lang w:val="en-US"/>
        </w:rPr>
      </w:pPr>
      <w:r w:rsidRPr="00582E85">
        <w:rPr>
          <w:lang w:val="en-GB"/>
        </w:rPr>
        <w:t xml:space="preserve">  </w:t>
      </w:r>
    </w:p>
    <w:sectPr w:rsidR="00C64960" w:rsidRPr="00EA647D" w:rsidSect="00DD3394">
      <w:footerReference w:type="default" r:id="rId13"/>
      <w:pgSz w:w="11906" w:h="16838" w:code="9"/>
      <w:pgMar w:top="1396" w:right="1133" w:bottom="460" w:left="845" w:header="720" w:footer="720" w:gutter="0"/>
      <w:cols w:space="720"/>
      <w:noEndnote/>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9C0E5" w16cex:dateUtc="2020-12-20T1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1F549B" w16cid:durableId="2389BF6D"/>
  <w16cid:commentId w16cid:paraId="3BDA7582" w16cid:durableId="23707725"/>
  <w16cid:commentId w16cid:paraId="4AEAF7B6" w16cid:durableId="23707E39"/>
  <w16cid:commentId w16cid:paraId="631AA1D5" w16cid:durableId="2389C0E5"/>
  <w16cid:commentId w16cid:paraId="11C9756C" w16cid:durableId="23707726"/>
  <w16cid:commentId w16cid:paraId="2A5F5B2F" w16cid:durableId="23707727"/>
  <w16cid:commentId w16cid:paraId="354BBED3" w16cid:durableId="23707728"/>
  <w16cid:commentId w16cid:paraId="6C1B9870" w16cid:durableId="23707729"/>
  <w16cid:commentId w16cid:paraId="7A4A8A26" w16cid:durableId="2370772A"/>
  <w16cid:commentId w16cid:paraId="76A9BD35" w16cid:durableId="237077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6F484" w14:textId="77777777" w:rsidR="00DE6656" w:rsidRDefault="00DE6656" w:rsidP="0033328C">
      <w:pPr>
        <w:spacing w:after="0" w:line="240" w:lineRule="auto"/>
      </w:pPr>
      <w:r>
        <w:separator/>
      </w:r>
    </w:p>
  </w:endnote>
  <w:endnote w:type="continuationSeparator" w:id="0">
    <w:p w14:paraId="12505C14" w14:textId="77777777" w:rsidR="00DE6656" w:rsidRDefault="00DE6656" w:rsidP="00333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AE4E3" w14:textId="0F8622EB" w:rsidR="007020A5" w:rsidRPr="005D4F15" w:rsidRDefault="007020A5" w:rsidP="0033328C">
    <w:pPr>
      <w:pStyle w:val="Footer"/>
      <w:rPr>
        <w:lang w:val="en-GB"/>
      </w:rPr>
    </w:pPr>
    <w:r w:rsidRPr="005D4F15">
      <w:rPr>
        <w:lang w:val="en-GB"/>
      </w:rPr>
      <w:t xml:space="preserve">16ENV10 MetroRADON </w:t>
    </w:r>
    <w:r w:rsidRPr="005D4F15">
      <w:rPr>
        <w:lang w:val="en-GB"/>
      </w:rPr>
      <w:ptab w:relativeTo="margin" w:alignment="center" w:leader="none"/>
    </w:r>
    <w:r>
      <w:rPr>
        <w:lang w:val="en-GB"/>
      </w:rPr>
      <w:t>Activity</w:t>
    </w:r>
    <w:r w:rsidRPr="005D4F15">
      <w:rPr>
        <w:lang w:val="en-GB"/>
      </w:rPr>
      <w:t xml:space="preserve"> </w:t>
    </w:r>
    <w:r>
      <w:rPr>
        <w:lang w:val="en-GB"/>
      </w:rPr>
      <w:t>6.3.4</w:t>
    </w:r>
  </w:p>
  <w:p w14:paraId="792B9E4B" w14:textId="77777777" w:rsidR="007020A5" w:rsidRDefault="0070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1FE04" w14:textId="77777777" w:rsidR="00DE6656" w:rsidRDefault="00DE6656" w:rsidP="0033328C">
      <w:pPr>
        <w:spacing w:after="0" w:line="240" w:lineRule="auto"/>
      </w:pPr>
      <w:r>
        <w:separator/>
      </w:r>
    </w:p>
  </w:footnote>
  <w:footnote w:type="continuationSeparator" w:id="0">
    <w:p w14:paraId="6818D826" w14:textId="77777777" w:rsidR="00DE6656" w:rsidRDefault="00DE6656" w:rsidP="0033328C">
      <w:pPr>
        <w:spacing w:after="0" w:line="240" w:lineRule="auto"/>
      </w:pPr>
      <w:r>
        <w:continuationSeparator/>
      </w:r>
    </w:p>
  </w:footnote>
  <w:footnote w:id="1">
    <w:p w14:paraId="70F0A33C" w14:textId="733775F6" w:rsidR="00C04D2F" w:rsidRPr="00C04D2F" w:rsidRDefault="00C04D2F">
      <w:pPr>
        <w:pStyle w:val="FootnoteText"/>
        <w:rPr>
          <w:lang w:val="en-GB"/>
        </w:rPr>
      </w:pPr>
      <w:r>
        <w:rPr>
          <w:rStyle w:val="FootnoteReference"/>
        </w:rPr>
        <w:footnoteRef/>
      </w:r>
      <w:r>
        <w:t xml:space="preserve"> </w:t>
      </w:r>
      <w:r w:rsidRPr="00C04D2F">
        <w:t>Bronkhorst® model F201CV (Bethlehem ‐ PA, USA) mass flow controllers (MFCs) are suitable for the accurate measurement and control of flow ranges at operat</w:t>
      </w:r>
      <w:r>
        <w:t xml:space="preserve">ing pressures between a vacuum </w:t>
      </w:r>
      <w:r w:rsidRPr="00C04D2F">
        <w:t>and 64 bar. The  MFC  consists  of  a  thermal  mass  flow  sensor,  a  precise  control  valve  and  a  microprocessor‐based PC‐board with signal and fieldbus conversion. The MFC is equipped with a  digital high accuracy PC‐board with a fast response.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C54"/>
    <w:multiLevelType w:val="hybridMultilevel"/>
    <w:tmpl w:val="749AC7FC"/>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0C56D9"/>
    <w:multiLevelType w:val="multilevel"/>
    <w:tmpl w:val="5FACB1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1123C13"/>
    <w:multiLevelType w:val="hybridMultilevel"/>
    <w:tmpl w:val="B8123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751477"/>
    <w:multiLevelType w:val="hybridMultilevel"/>
    <w:tmpl w:val="9342EA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FC4F1F"/>
    <w:multiLevelType w:val="hybridMultilevel"/>
    <w:tmpl w:val="4B184D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563FC1"/>
    <w:multiLevelType w:val="hybridMultilevel"/>
    <w:tmpl w:val="173848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38343D"/>
    <w:multiLevelType w:val="hybridMultilevel"/>
    <w:tmpl w:val="B1AA77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4CB02CB"/>
    <w:multiLevelType w:val="multilevel"/>
    <w:tmpl w:val="5FACB1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5927455"/>
    <w:multiLevelType w:val="hybridMultilevel"/>
    <w:tmpl w:val="8940E82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CF964CA"/>
    <w:multiLevelType w:val="hybridMultilevel"/>
    <w:tmpl w:val="DDFE1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13F485A"/>
    <w:multiLevelType w:val="hybridMultilevel"/>
    <w:tmpl w:val="C2E440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816C2F"/>
    <w:multiLevelType w:val="multilevel"/>
    <w:tmpl w:val="38EAD32C"/>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C8712DA"/>
    <w:multiLevelType w:val="hybridMultilevel"/>
    <w:tmpl w:val="B9A4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1970A4"/>
    <w:multiLevelType w:val="hybridMultilevel"/>
    <w:tmpl w:val="4C4C5E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9400D5"/>
    <w:multiLevelType w:val="hybridMultilevel"/>
    <w:tmpl w:val="1BA0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BC3E64"/>
    <w:multiLevelType w:val="hybridMultilevel"/>
    <w:tmpl w:val="98C4FBC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0D66437"/>
    <w:multiLevelType w:val="hybridMultilevel"/>
    <w:tmpl w:val="A3101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A791D4B"/>
    <w:multiLevelType w:val="hybridMultilevel"/>
    <w:tmpl w:val="3A4E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73ED7"/>
    <w:multiLevelType w:val="hybridMultilevel"/>
    <w:tmpl w:val="F5B49C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B8C5E83"/>
    <w:multiLevelType w:val="hybridMultilevel"/>
    <w:tmpl w:val="0ACE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A6177F"/>
    <w:multiLevelType w:val="hybridMultilevel"/>
    <w:tmpl w:val="4224E60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3AA33AA"/>
    <w:multiLevelType w:val="hybridMultilevel"/>
    <w:tmpl w:val="014898CA"/>
    <w:lvl w:ilvl="0" w:tplc="C5747F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906723"/>
    <w:multiLevelType w:val="hybridMultilevel"/>
    <w:tmpl w:val="0AB078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A6726C"/>
    <w:multiLevelType w:val="hybridMultilevel"/>
    <w:tmpl w:val="C1FC8A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6D772A"/>
    <w:multiLevelType w:val="hybridMultilevel"/>
    <w:tmpl w:val="DDFE1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C8465A6"/>
    <w:multiLevelType w:val="multilevel"/>
    <w:tmpl w:val="5FACB1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CBF2517"/>
    <w:multiLevelType w:val="hybridMultilevel"/>
    <w:tmpl w:val="28DC0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CB3239"/>
    <w:multiLevelType w:val="hybridMultilevel"/>
    <w:tmpl w:val="EE304D4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41FC101B"/>
    <w:multiLevelType w:val="hybridMultilevel"/>
    <w:tmpl w:val="FFB6AD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3345A7"/>
    <w:multiLevelType w:val="hybridMultilevel"/>
    <w:tmpl w:val="B3C8A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4A114CE"/>
    <w:multiLevelType w:val="hybridMultilevel"/>
    <w:tmpl w:val="C596B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5B858A4"/>
    <w:multiLevelType w:val="hybridMultilevel"/>
    <w:tmpl w:val="B87AA6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8B6EC2"/>
    <w:multiLevelType w:val="hybridMultilevel"/>
    <w:tmpl w:val="8D22DA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CAE6AC9"/>
    <w:multiLevelType w:val="multilevel"/>
    <w:tmpl w:val="5FACB1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2793433"/>
    <w:multiLevelType w:val="hybridMultilevel"/>
    <w:tmpl w:val="766EB726"/>
    <w:lvl w:ilvl="0" w:tplc="0407000F">
      <w:start w:val="1"/>
      <w:numFmt w:val="decimal"/>
      <w:lvlText w:val="%1."/>
      <w:lvlJc w:val="left"/>
      <w:pPr>
        <w:ind w:left="1100" w:hanging="360"/>
      </w:pPr>
    </w:lvl>
    <w:lvl w:ilvl="1" w:tplc="04070019" w:tentative="1">
      <w:start w:val="1"/>
      <w:numFmt w:val="lowerLetter"/>
      <w:lvlText w:val="%2."/>
      <w:lvlJc w:val="left"/>
      <w:pPr>
        <w:ind w:left="1820" w:hanging="360"/>
      </w:pPr>
    </w:lvl>
    <w:lvl w:ilvl="2" w:tplc="0407001B" w:tentative="1">
      <w:start w:val="1"/>
      <w:numFmt w:val="lowerRoman"/>
      <w:lvlText w:val="%3."/>
      <w:lvlJc w:val="right"/>
      <w:pPr>
        <w:ind w:left="2540" w:hanging="180"/>
      </w:pPr>
    </w:lvl>
    <w:lvl w:ilvl="3" w:tplc="0407000F" w:tentative="1">
      <w:start w:val="1"/>
      <w:numFmt w:val="decimal"/>
      <w:lvlText w:val="%4."/>
      <w:lvlJc w:val="left"/>
      <w:pPr>
        <w:ind w:left="3260" w:hanging="360"/>
      </w:pPr>
    </w:lvl>
    <w:lvl w:ilvl="4" w:tplc="04070019" w:tentative="1">
      <w:start w:val="1"/>
      <w:numFmt w:val="lowerLetter"/>
      <w:lvlText w:val="%5."/>
      <w:lvlJc w:val="left"/>
      <w:pPr>
        <w:ind w:left="3980" w:hanging="360"/>
      </w:pPr>
    </w:lvl>
    <w:lvl w:ilvl="5" w:tplc="0407001B" w:tentative="1">
      <w:start w:val="1"/>
      <w:numFmt w:val="lowerRoman"/>
      <w:lvlText w:val="%6."/>
      <w:lvlJc w:val="right"/>
      <w:pPr>
        <w:ind w:left="4700" w:hanging="180"/>
      </w:pPr>
    </w:lvl>
    <w:lvl w:ilvl="6" w:tplc="0407000F" w:tentative="1">
      <w:start w:val="1"/>
      <w:numFmt w:val="decimal"/>
      <w:lvlText w:val="%7."/>
      <w:lvlJc w:val="left"/>
      <w:pPr>
        <w:ind w:left="5420" w:hanging="360"/>
      </w:pPr>
    </w:lvl>
    <w:lvl w:ilvl="7" w:tplc="04070019" w:tentative="1">
      <w:start w:val="1"/>
      <w:numFmt w:val="lowerLetter"/>
      <w:lvlText w:val="%8."/>
      <w:lvlJc w:val="left"/>
      <w:pPr>
        <w:ind w:left="6140" w:hanging="360"/>
      </w:pPr>
    </w:lvl>
    <w:lvl w:ilvl="8" w:tplc="0407001B" w:tentative="1">
      <w:start w:val="1"/>
      <w:numFmt w:val="lowerRoman"/>
      <w:lvlText w:val="%9."/>
      <w:lvlJc w:val="right"/>
      <w:pPr>
        <w:ind w:left="6860" w:hanging="180"/>
      </w:pPr>
    </w:lvl>
  </w:abstractNum>
  <w:abstractNum w:abstractNumId="35" w15:restartNumberingAfterBreak="0">
    <w:nsid w:val="57A94385"/>
    <w:multiLevelType w:val="hybridMultilevel"/>
    <w:tmpl w:val="FC32BA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8D10EDB"/>
    <w:multiLevelType w:val="hybridMultilevel"/>
    <w:tmpl w:val="0EEA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653D21"/>
    <w:multiLevelType w:val="hybridMultilevel"/>
    <w:tmpl w:val="9C7847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59E14616"/>
    <w:multiLevelType w:val="hybridMultilevel"/>
    <w:tmpl w:val="F09AC3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361918"/>
    <w:multiLevelType w:val="hybridMultilevel"/>
    <w:tmpl w:val="E41A7152"/>
    <w:lvl w:ilvl="0" w:tplc="67E071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EFC31BA"/>
    <w:multiLevelType w:val="hybridMultilevel"/>
    <w:tmpl w:val="CA3E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2255AA"/>
    <w:multiLevelType w:val="hybridMultilevel"/>
    <w:tmpl w:val="3D2884F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2" w15:restartNumberingAfterBreak="0">
    <w:nsid w:val="5F4D694E"/>
    <w:multiLevelType w:val="multilevel"/>
    <w:tmpl w:val="5FACB14A"/>
    <w:lvl w:ilvl="0">
      <w:start w:val="1"/>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575" w:hanging="1440"/>
      </w:pPr>
      <w:rPr>
        <w:rFonts w:hint="default"/>
      </w:rPr>
    </w:lvl>
  </w:abstractNum>
  <w:abstractNum w:abstractNumId="43" w15:restartNumberingAfterBreak="0">
    <w:nsid w:val="6F7F3C50"/>
    <w:multiLevelType w:val="hybridMultilevel"/>
    <w:tmpl w:val="2C3A20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6FA42A40"/>
    <w:multiLevelType w:val="hybridMultilevel"/>
    <w:tmpl w:val="165E8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C45234"/>
    <w:multiLevelType w:val="hybridMultilevel"/>
    <w:tmpl w:val="B3C8A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7D0383B"/>
    <w:multiLevelType w:val="hybridMultilevel"/>
    <w:tmpl w:val="DDFE1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8A94E7E"/>
    <w:multiLevelType w:val="hybridMultilevel"/>
    <w:tmpl w:val="0D20D008"/>
    <w:lvl w:ilvl="0" w:tplc="D3365F02">
      <w:start w:val="1"/>
      <w:numFmt w:val="bullet"/>
      <w:lvlText w:val=""/>
      <w:lvlJc w:val="left"/>
      <w:pPr>
        <w:ind w:left="2148" w:hanging="360"/>
      </w:pPr>
      <w:rPr>
        <w:rFonts w:ascii="Symbol" w:hAnsi="Symbol"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48" w15:restartNumberingAfterBreak="0">
    <w:nsid w:val="78B173E9"/>
    <w:multiLevelType w:val="hybridMultilevel"/>
    <w:tmpl w:val="15F487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15"/>
  </w:num>
  <w:num w:numId="3">
    <w:abstractNumId w:val="37"/>
  </w:num>
  <w:num w:numId="4">
    <w:abstractNumId w:val="27"/>
  </w:num>
  <w:num w:numId="5">
    <w:abstractNumId w:val="32"/>
  </w:num>
  <w:num w:numId="6">
    <w:abstractNumId w:val="25"/>
  </w:num>
  <w:num w:numId="7">
    <w:abstractNumId w:val="9"/>
  </w:num>
  <w:num w:numId="8">
    <w:abstractNumId w:val="24"/>
  </w:num>
  <w:num w:numId="9">
    <w:abstractNumId w:val="46"/>
  </w:num>
  <w:num w:numId="10">
    <w:abstractNumId w:val="7"/>
  </w:num>
  <w:num w:numId="11">
    <w:abstractNumId w:val="45"/>
  </w:num>
  <w:num w:numId="12">
    <w:abstractNumId w:val="29"/>
  </w:num>
  <w:num w:numId="13">
    <w:abstractNumId w:val="1"/>
  </w:num>
  <w:num w:numId="14">
    <w:abstractNumId w:val="18"/>
  </w:num>
  <w:num w:numId="15">
    <w:abstractNumId w:val="16"/>
  </w:num>
  <w:num w:numId="16">
    <w:abstractNumId w:val="20"/>
  </w:num>
  <w:num w:numId="17">
    <w:abstractNumId w:val="26"/>
  </w:num>
  <w:num w:numId="18">
    <w:abstractNumId w:val="44"/>
  </w:num>
  <w:num w:numId="19">
    <w:abstractNumId w:val="2"/>
  </w:num>
  <w:num w:numId="20">
    <w:abstractNumId w:val="14"/>
  </w:num>
  <w:num w:numId="21">
    <w:abstractNumId w:val="21"/>
  </w:num>
  <w:num w:numId="22">
    <w:abstractNumId w:val="36"/>
  </w:num>
  <w:num w:numId="23">
    <w:abstractNumId w:val="35"/>
  </w:num>
  <w:num w:numId="24">
    <w:abstractNumId w:val="11"/>
  </w:num>
  <w:num w:numId="25">
    <w:abstractNumId w:val="34"/>
  </w:num>
  <w:num w:numId="26">
    <w:abstractNumId w:val="17"/>
  </w:num>
  <w:num w:numId="27">
    <w:abstractNumId w:val="41"/>
  </w:num>
  <w:num w:numId="28">
    <w:abstractNumId w:val="19"/>
  </w:num>
  <w:num w:numId="29">
    <w:abstractNumId w:val="42"/>
  </w:num>
  <w:num w:numId="30">
    <w:abstractNumId w:val="33"/>
  </w:num>
  <w:num w:numId="31">
    <w:abstractNumId w:val="12"/>
  </w:num>
  <w:num w:numId="32">
    <w:abstractNumId w:val="39"/>
  </w:num>
  <w:num w:numId="33">
    <w:abstractNumId w:val="40"/>
  </w:num>
  <w:num w:numId="34">
    <w:abstractNumId w:val="30"/>
  </w:num>
  <w:num w:numId="35">
    <w:abstractNumId w:val="8"/>
  </w:num>
  <w:num w:numId="36">
    <w:abstractNumId w:val="48"/>
  </w:num>
  <w:num w:numId="37">
    <w:abstractNumId w:val="23"/>
  </w:num>
  <w:num w:numId="38">
    <w:abstractNumId w:val="10"/>
  </w:num>
  <w:num w:numId="39">
    <w:abstractNumId w:val="22"/>
  </w:num>
  <w:num w:numId="40">
    <w:abstractNumId w:val="5"/>
  </w:num>
  <w:num w:numId="41">
    <w:abstractNumId w:val="4"/>
  </w:num>
  <w:num w:numId="42">
    <w:abstractNumId w:val="28"/>
  </w:num>
  <w:num w:numId="43">
    <w:abstractNumId w:val="38"/>
  </w:num>
  <w:num w:numId="44">
    <w:abstractNumId w:val="3"/>
  </w:num>
  <w:num w:numId="45">
    <w:abstractNumId w:val="31"/>
  </w:num>
  <w:num w:numId="46">
    <w:abstractNumId w:val="6"/>
  </w:num>
  <w:num w:numId="47">
    <w:abstractNumId w:val="13"/>
  </w:num>
  <w:num w:numId="48">
    <w:abstractNumId w:val="0"/>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AT" w:vendorID="64" w:dllVersion="6" w:nlCheck="1" w:checkStyle="0"/>
  <w:activeWritingStyle w:appName="MSWord" w:lang="it-IT"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6" w:nlCheck="1" w:checkStyle="0"/>
  <w:activeWritingStyle w:appName="MSWord" w:lang="de-DE" w:vendorID="64" w:dllVersion="0" w:nlCheck="1" w:checkStyle="0"/>
  <w:activeWritingStyle w:appName="MSWord" w:lang="de-A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de-AT"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95"/>
    <w:rsid w:val="0001625E"/>
    <w:rsid w:val="00022B4A"/>
    <w:rsid w:val="000260BE"/>
    <w:rsid w:val="000261ED"/>
    <w:rsid w:val="000274AE"/>
    <w:rsid w:val="00030FD2"/>
    <w:rsid w:val="00050C11"/>
    <w:rsid w:val="00065E93"/>
    <w:rsid w:val="00070E9B"/>
    <w:rsid w:val="00074E73"/>
    <w:rsid w:val="00082608"/>
    <w:rsid w:val="00082DC8"/>
    <w:rsid w:val="00097ACC"/>
    <w:rsid w:val="000A3621"/>
    <w:rsid w:val="000A54D8"/>
    <w:rsid w:val="000A57E7"/>
    <w:rsid w:val="000A6E5B"/>
    <w:rsid w:val="000B5F72"/>
    <w:rsid w:val="000B7256"/>
    <w:rsid w:val="000C0DA1"/>
    <w:rsid w:val="000D2443"/>
    <w:rsid w:val="000D3C78"/>
    <w:rsid w:val="000E4E6B"/>
    <w:rsid w:val="000E594A"/>
    <w:rsid w:val="000F1C90"/>
    <w:rsid w:val="000F2360"/>
    <w:rsid w:val="000F2841"/>
    <w:rsid w:val="000F5D5F"/>
    <w:rsid w:val="001017CB"/>
    <w:rsid w:val="001054A5"/>
    <w:rsid w:val="00114A3E"/>
    <w:rsid w:val="001159EC"/>
    <w:rsid w:val="00121E08"/>
    <w:rsid w:val="00123AAD"/>
    <w:rsid w:val="00131662"/>
    <w:rsid w:val="00131C12"/>
    <w:rsid w:val="00132316"/>
    <w:rsid w:val="00133A66"/>
    <w:rsid w:val="0013574D"/>
    <w:rsid w:val="001440B9"/>
    <w:rsid w:val="00145669"/>
    <w:rsid w:val="0014690B"/>
    <w:rsid w:val="00162B13"/>
    <w:rsid w:val="00173210"/>
    <w:rsid w:val="00173D59"/>
    <w:rsid w:val="001769CA"/>
    <w:rsid w:val="00180607"/>
    <w:rsid w:val="00185F48"/>
    <w:rsid w:val="00187E7D"/>
    <w:rsid w:val="001A1929"/>
    <w:rsid w:val="001A41F2"/>
    <w:rsid w:val="001B406D"/>
    <w:rsid w:val="001B5B05"/>
    <w:rsid w:val="001B7EC6"/>
    <w:rsid w:val="001C0980"/>
    <w:rsid w:val="001C69D2"/>
    <w:rsid w:val="001C7489"/>
    <w:rsid w:val="001D17FA"/>
    <w:rsid w:val="001F40E1"/>
    <w:rsid w:val="001F4A08"/>
    <w:rsid w:val="001F5D55"/>
    <w:rsid w:val="002035AF"/>
    <w:rsid w:val="00204A7D"/>
    <w:rsid w:val="00204C33"/>
    <w:rsid w:val="00205669"/>
    <w:rsid w:val="002106B4"/>
    <w:rsid w:val="00210E34"/>
    <w:rsid w:val="002115E9"/>
    <w:rsid w:val="00220D0A"/>
    <w:rsid w:val="00223E2C"/>
    <w:rsid w:val="0022453E"/>
    <w:rsid w:val="00230A7E"/>
    <w:rsid w:val="00233567"/>
    <w:rsid w:val="00233C8D"/>
    <w:rsid w:val="002419F7"/>
    <w:rsid w:val="002546A5"/>
    <w:rsid w:val="0026018C"/>
    <w:rsid w:val="00270BBE"/>
    <w:rsid w:val="002805FF"/>
    <w:rsid w:val="0028221A"/>
    <w:rsid w:val="0028503E"/>
    <w:rsid w:val="002905BC"/>
    <w:rsid w:val="002930B5"/>
    <w:rsid w:val="002A0452"/>
    <w:rsid w:val="002B21BF"/>
    <w:rsid w:val="002B3BFC"/>
    <w:rsid w:val="002B5E27"/>
    <w:rsid w:val="002B6CBC"/>
    <w:rsid w:val="002C4AF7"/>
    <w:rsid w:val="002C4DA6"/>
    <w:rsid w:val="002D1FA4"/>
    <w:rsid w:val="002D3B58"/>
    <w:rsid w:val="002E3CA0"/>
    <w:rsid w:val="002E3EA1"/>
    <w:rsid w:val="002E682E"/>
    <w:rsid w:val="002E7E51"/>
    <w:rsid w:val="002F0871"/>
    <w:rsid w:val="002F78B5"/>
    <w:rsid w:val="00306196"/>
    <w:rsid w:val="00313A22"/>
    <w:rsid w:val="003212A8"/>
    <w:rsid w:val="003215B4"/>
    <w:rsid w:val="00331924"/>
    <w:rsid w:val="0033328C"/>
    <w:rsid w:val="00347B11"/>
    <w:rsid w:val="00347DCC"/>
    <w:rsid w:val="00355F6D"/>
    <w:rsid w:val="00363C8B"/>
    <w:rsid w:val="00383F40"/>
    <w:rsid w:val="003A3203"/>
    <w:rsid w:val="003B3418"/>
    <w:rsid w:val="003B4933"/>
    <w:rsid w:val="003C0BB1"/>
    <w:rsid w:val="003C34DA"/>
    <w:rsid w:val="003D5E77"/>
    <w:rsid w:val="003E624B"/>
    <w:rsid w:val="003F19C6"/>
    <w:rsid w:val="003F2D92"/>
    <w:rsid w:val="003F43EC"/>
    <w:rsid w:val="00401B49"/>
    <w:rsid w:val="00425483"/>
    <w:rsid w:val="004318BA"/>
    <w:rsid w:val="0043364F"/>
    <w:rsid w:val="00437654"/>
    <w:rsid w:val="00441CBC"/>
    <w:rsid w:val="0044268E"/>
    <w:rsid w:val="00442B1B"/>
    <w:rsid w:val="00453C0B"/>
    <w:rsid w:val="0046016F"/>
    <w:rsid w:val="0046032C"/>
    <w:rsid w:val="00466A20"/>
    <w:rsid w:val="00467F6C"/>
    <w:rsid w:val="0047122B"/>
    <w:rsid w:val="00476F9E"/>
    <w:rsid w:val="004836A4"/>
    <w:rsid w:val="00483B73"/>
    <w:rsid w:val="004927E8"/>
    <w:rsid w:val="004949B9"/>
    <w:rsid w:val="00495314"/>
    <w:rsid w:val="004961B4"/>
    <w:rsid w:val="004A1E54"/>
    <w:rsid w:val="004A23FC"/>
    <w:rsid w:val="004B3323"/>
    <w:rsid w:val="004B49EF"/>
    <w:rsid w:val="004C128B"/>
    <w:rsid w:val="004C26BC"/>
    <w:rsid w:val="004C2FC4"/>
    <w:rsid w:val="004C3573"/>
    <w:rsid w:val="004C7530"/>
    <w:rsid w:val="004D16E9"/>
    <w:rsid w:val="004D2C66"/>
    <w:rsid w:val="004D7428"/>
    <w:rsid w:val="004E282D"/>
    <w:rsid w:val="004E7790"/>
    <w:rsid w:val="004F10F5"/>
    <w:rsid w:val="00500DFE"/>
    <w:rsid w:val="005052E9"/>
    <w:rsid w:val="005114F8"/>
    <w:rsid w:val="0053117A"/>
    <w:rsid w:val="00541B07"/>
    <w:rsid w:val="00542873"/>
    <w:rsid w:val="00543E4B"/>
    <w:rsid w:val="005510FC"/>
    <w:rsid w:val="00553FC3"/>
    <w:rsid w:val="005608E2"/>
    <w:rsid w:val="00567496"/>
    <w:rsid w:val="0057070E"/>
    <w:rsid w:val="0057589E"/>
    <w:rsid w:val="00582E85"/>
    <w:rsid w:val="00583EE6"/>
    <w:rsid w:val="0059122F"/>
    <w:rsid w:val="005A2EF9"/>
    <w:rsid w:val="005C32E2"/>
    <w:rsid w:val="005C46A4"/>
    <w:rsid w:val="005D2F64"/>
    <w:rsid w:val="005D4F15"/>
    <w:rsid w:val="005E43CA"/>
    <w:rsid w:val="005E708F"/>
    <w:rsid w:val="005F17BE"/>
    <w:rsid w:val="005F1CC2"/>
    <w:rsid w:val="00605780"/>
    <w:rsid w:val="00613BB0"/>
    <w:rsid w:val="00615368"/>
    <w:rsid w:val="00622AF7"/>
    <w:rsid w:val="00623753"/>
    <w:rsid w:val="00624B3E"/>
    <w:rsid w:val="00631191"/>
    <w:rsid w:val="0064493C"/>
    <w:rsid w:val="006450D5"/>
    <w:rsid w:val="00650C7B"/>
    <w:rsid w:val="006524A4"/>
    <w:rsid w:val="00652D15"/>
    <w:rsid w:val="006672AB"/>
    <w:rsid w:val="006678EE"/>
    <w:rsid w:val="006735C1"/>
    <w:rsid w:val="00676CD5"/>
    <w:rsid w:val="006850D0"/>
    <w:rsid w:val="006905F0"/>
    <w:rsid w:val="00691C40"/>
    <w:rsid w:val="006B7342"/>
    <w:rsid w:val="006C0542"/>
    <w:rsid w:val="006C6096"/>
    <w:rsid w:val="006D3D79"/>
    <w:rsid w:val="006D5D06"/>
    <w:rsid w:val="006D6619"/>
    <w:rsid w:val="006D7BE1"/>
    <w:rsid w:val="006E7760"/>
    <w:rsid w:val="006E7FE3"/>
    <w:rsid w:val="007020A5"/>
    <w:rsid w:val="00715551"/>
    <w:rsid w:val="007239ED"/>
    <w:rsid w:val="0072455C"/>
    <w:rsid w:val="0073015B"/>
    <w:rsid w:val="00731968"/>
    <w:rsid w:val="00740456"/>
    <w:rsid w:val="00744DBC"/>
    <w:rsid w:val="00760FA4"/>
    <w:rsid w:val="0077100F"/>
    <w:rsid w:val="00773D82"/>
    <w:rsid w:val="00775B52"/>
    <w:rsid w:val="007768E4"/>
    <w:rsid w:val="0078532B"/>
    <w:rsid w:val="007879A1"/>
    <w:rsid w:val="00790D24"/>
    <w:rsid w:val="00791317"/>
    <w:rsid w:val="00794319"/>
    <w:rsid w:val="00795056"/>
    <w:rsid w:val="007B1EFA"/>
    <w:rsid w:val="007B2FB4"/>
    <w:rsid w:val="007B7D16"/>
    <w:rsid w:val="007C398A"/>
    <w:rsid w:val="007C3EC1"/>
    <w:rsid w:val="007C5D0B"/>
    <w:rsid w:val="007C7FA3"/>
    <w:rsid w:val="007D30A3"/>
    <w:rsid w:val="007D3AEA"/>
    <w:rsid w:val="007D5719"/>
    <w:rsid w:val="007E0845"/>
    <w:rsid w:val="007E6B5E"/>
    <w:rsid w:val="00802404"/>
    <w:rsid w:val="00806E06"/>
    <w:rsid w:val="008112C6"/>
    <w:rsid w:val="00811D11"/>
    <w:rsid w:val="00817E1C"/>
    <w:rsid w:val="00820833"/>
    <w:rsid w:val="00824063"/>
    <w:rsid w:val="008308D2"/>
    <w:rsid w:val="00840FBE"/>
    <w:rsid w:val="00847054"/>
    <w:rsid w:val="00847F40"/>
    <w:rsid w:val="00852C9A"/>
    <w:rsid w:val="008721CB"/>
    <w:rsid w:val="00874B1A"/>
    <w:rsid w:val="00881A15"/>
    <w:rsid w:val="00886A76"/>
    <w:rsid w:val="0089071C"/>
    <w:rsid w:val="008928E6"/>
    <w:rsid w:val="0089352C"/>
    <w:rsid w:val="00894CF9"/>
    <w:rsid w:val="008955BA"/>
    <w:rsid w:val="008A77C1"/>
    <w:rsid w:val="008B2174"/>
    <w:rsid w:val="008B705D"/>
    <w:rsid w:val="008C060B"/>
    <w:rsid w:val="008C1CF9"/>
    <w:rsid w:val="008C216A"/>
    <w:rsid w:val="008E4AA7"/>
    <w:rsid w:val="008F2FEE"/>
    <w:rsid w:val="008F4338"/>
    <w:rsid w:val="008F4413"/>
    <w:rsid w:val="00914712"/>
    <w:rsid w:val="0092461E"/>
    <w:rsid w:val="009261D1"/>
    <w:rsid w:val="00930010"/>
    <w:rsid w:val="00943AC2"/>
    <w:rsid w:val="0094655B"/>
    <w:rsid w:val="00946631"/>
    <w:rsid w:val="00946D1E"/>
    <w:rsid w:val="0095065A"/>
    <w:rsid w:val="009531DB"/>
    <w:rsid w:val="0095466E"/>
    <w:rsid w:val="00961B80"/>
    <w:rsid w:val="009725F1"/>
    <w:rsid w:val="009849FC"/>
    <w:rsid w:val="009855B9"/>
    <w:rsid w:val="009858ED"/>
    <w:rsid w:val="00993C69"/>
    <w:rsid w:val="00994AB8"/>
    <w:rsid w:val="00995E2F"/>
    <w:rsid w:val="009A02DF"/>
    <w:rsid w:val="009A0559"/>
    <w:rsid w:val="009B2991"/>
    <w:rsid w:val="009B2AFF"/>
    <w:rsid w:val="009C0633"/>
    <w:rsid w:val="009C0742"/>
    <w:rsid w:val="009D3FDC"/>
    <w:rsid w:val="009E0133"/>
    <w:rsid w:val="009E5679"/>
    <w:rsid w:val="009E5EF8"/>
    <w:rsid w:val="009F010B"/>
    <w:rsid w:val="009F060E"/>
    <w:rsid w:val="009F0E37"/>
    <w:rsid w:val="009F4F4F"/>
    <w:rsid w:val="00A11459"/>
    <w:rsid w:val="00A14652"/>
    <w:rsid w:val="00A14880"/>
    <w:rsid w:val="00A14CCA"/>
    <w:rsid w:val="00A152A7"/>
    <w:rsid w:val="00A21FD6"/>
    <w:rsid w:val="00A27206"/>
    <w:rsid w:val="00A5330B"/>
    <w:rsid w:val="00A659A8"/>
    <w:rsid w:val="00A65F84"/>
    <w:rsid w:val="00A71295"/>
    <w:rsid w:val="00A8378D"/>
    <w:rsid w:val="00A837F6"/>
    <w:rsid w:val="00A87065"/>
    <w:rsid w:val="00A914F2"/>
    <w:rsid w:val="00A94827"/>
    <w:rsid w:val="00A95182"/>
    <w:rsid w:val="00AA058A"/>
    <w:rsid w:val="00AA14D5"/>
    <w:rsid w:val="00AA1761"/>
    <w:rsid w:val="00AA20B5"/>
    <w:rsid w:val="00AA276E"/>
    <w:rsid w:val="00AB033C"/>
    <w:rsid w:val="00AB0A5A"/>
    <w:rsid w:val="00AB12B7"/>
    <w:rsid w:val="00AB12E0"/>
    <w:rsid w:val="00AC008D"/>
    <w:rsid w:val="00AC197F"/>
    <w:rsid w:val="00AC7F18"/>
    <w:rsid w:val="00AD2D84"/>
    <w:rsid w:val="00AD39F7"/>
    <w:rsid w:val="00AD578A"/>
    <w:rsid w:val="00AD62F8"/>
    <w:rsid w:val="00AE547C"/>
    <w:rsid w:val="00B025FE"/>
    <w:rsid w:val="00B03D8C"/>
    <w:rsid w:val="00B05CDD"/>
    <w:rsid w:val="00B1454C"/>
    <w:rsid w:val="00B168D9"/>
    <w:rsid w:val="00B24DCF"/>
    <w:rsid w:val="00B264C1"/>
    <w:rsid w:val="00B266FE"/>
    <w:rsid w:val="00B37ED6"/>
    <w:rsid w:val="00B40938"/>
    <w:rsid w:val="00B45543"/>
    <w:rsid w:val="00B45AB0"/>
    <w:rsid w:val="00B515C4"/>
    <w:rsid w:val="00B54A01"/>
    <w:rsid w:val="00B637DB"/>
    <w:rsid w:val="00B74877"/>
    <w:rsid w:val="00B76578"/>
    <w:rsid w:val="00B902CC"/>
    <w:rsid w:val="00B91089"/>
    <w:rsid w:val="00B913D6"/>
    <w:rsid w:val="00BA17F9"/>
    <w:rsid w:val="00BA7CB5"/>
    <w:rsid w:val="00BB29A2"/>
    <w:rsid w:val="00BC0757"/>
    <w:rsid w:val="00BC349E"/>
    <w:rsid w:val="00BC637E"/>
    <w:rsid w:val="00BE0E92"/>
    <w:rsid w:val="00BE33B4"/>
    <w:rsid w:val="00BF42EB"/>
    <w:rsid w:val="00C04D2F"/>
    <w:rsid w:val="00C05065"/>
    <w:rsid w:val="00C114C2"/>
    <w:rsid w:val="00C11CE7"/>
    <w:rsid w:val="00C11D6F"/>
    <w:rsid w:val="00C12895"/>
    <w:rsid w:val="00C17D57"/>
    <w:rsid w:val="00C20D92"/>
    <w:rsid w:val="00C21DC3"/>
    <w:rsid w:val="00C23912"/>
    <w:rsid w:val="00C26CA8"/>
    <w:rsid w:val="00C32552"/>
    <w:rsid w:val="00C60078"/>
    <w:rsid w:val="00C63AC9"/>
    <w:rsid w:val="00C64960"/>
    <w:rsid w:val="00C7228A"/>
    <w:rsid w:val="00C77BE0"/>
    <w:rsid w:val="00C875AD"/>
    <w:rsid w:val="00C93526"/>
    <w:rsid w:val="00CA2973"/>
    <w:rsid w:val="00CB0BAE"/>
    <w:rsid w:val="00CB196C"/>
    <w:rsid w:val="00CB4368"/>
    <w:rsid w:val="00CB7EF0"/>
    <w:rsid w:val="00CD7E34"/>
    <w:rsid w:val="00CE5E1D"/>
    <w:rsid w:val="00CE6D2A"/>
    <w:rsid w:val="00CE7E1D"/>
    <w:rsid w:val="00D0015A"/>
    <w:rsid w:val="00D2067B"/>
    <w:rsid w:val="00D326DA"/>
    <w:rsid w:val="00D370C7"/>
    <w:rsid w:val="00D40B69"/>
    <w:rsid w:val="00D4724A"/>
    <w:rsid w:val="00D53091"/>
    <w:rsid w:val="00D55718"/>
    <w:rsid w:val="00D65ED0"/>
    <w:rsid w:val="00D7343A"/>
    <w:rsid w:val="00D745CD"/>
    <w:rsid w:val="00D75406"/>
    <w:rsid w:val="00D76DC6"/>
    <w:rsid w:val="00D830DE"/>
    <w:rsid w:val="00D844FB"/>
    <w:rsid w:val="00D978B6"/>
    <w:rsid w:val="00D97A33"/>
    <w:rsid w:val="00DA02A9"/>
    <w:rsid w:val="00DA0496"/>
    <w:rsid w:val="00DA32A0"/>
    <w:rsid w:val="00DB376F"/>
    <w:rsid w:val="00DB5F48"/>
    <w:rsid w:val="00DB75EC"/>
    <w:rsid w:val="00DC1CDD"/>
    <w:rsid w:val="00DD020C"/>
    <w:rsid w:val="00DD2821"/>
    <w:rsid w:val="00DD3394"/>
    <w:rsid w:val="00DD35F2"/>
    <w:rsid w:val="00DD3D55"/>
    <w:rsid w:val="00DE1F97"/>
    <w:rsid w:val="00DE2BA6"/>
    <w:rsid w:val="00DE6656"/>
    <w:rsid w:val="00DE75BF"/>
    <w:rsid w:val="00DF4D93"/>
    <w:rsid w:val="00DF56CF"/>
    <w:rsid w:val="00E00B64"/>
    <w:rsid w:val="00E1104F"/>
    <w:rsid w:val="00E1321A"/>
    <w:rsid w:val="00E2380E"/>
    <w:rsid w:val="00E25EB3"/>
    <w:rsid w:val="00E263D8"/>
    <w:rsid w:val="00E270BE"/>
    <w:rsid w:val="00E27F15"/>
    <w:rsid w:val="00E3170C"/>
    <w:rsid w:val="00E31757"/>
    <w:rsid w:val="00E326A5"/>
    <w:rsid w:val="00E37BB0"/>
    <w:rsid w:val="00E431E0"/>
    <w:rsid w:val="00E71558"/>
    <w:rsid w:val="00E72654"/>
    <w:rsid w:val="00E72D26"/>
    <w:rsid w:val="00E81308"/>
    <w:rsid w:val="00E85CC9"/>
    <w:rsid w:val="00E86137"/>
    <w:rsid w:val="00E86DBE"/>
    <w:rsid w:val="00E87066"/>
    <w:rsid w:val="00E90686"/>
    <w:rsid w:val="00E924D9"/>
    <w:rsid w:val="00E942B8"/>
    <w:rsid w:val="00E97FB3"/>
    <w:rsid w:val="00EA1F78"/>
    <w:rsid w:val="00EA647D"/>
    <w:rsid w:val="00EB4CD2"/>
    <w:rsid w:val="00EC148F"/>
    <w:rsid w:val="00EC4A3E"/>
    <w:rsid w:val="00EE094B"/>
    <w:rsid w:val="00EE5B74"/>
    <w:rsid w:val="00EF098D"/>
    <w:rsid w:val="00EF1F26"/>
    <w:rsid w:val="00F05087"/>
    <w:rsid w:val="00F06EFC"/>
    <w:rsid w:val="00F157C5"/>
    <w:rsid w:val="00F20913"/>
    <w:rsid w:val="00F22400"/>
    <w:rsid w:val="00F27829"/>
    <w:rsid w:val="00F30B91"/>
    <w:rsid w:val="00F32E40"/>
    <w:rsid w:val="00F35FA8"/>
    <w:rsid w:val="00F43E0C"/>
    <w:rsid w:val="00F44DA5"/>
    <w:rsid w:val="00F701FA"/>
    <w:rsid w:val="00F7253F"/>
    <w:rsid w:val="00F7557E"/>
    <w:rsid w:val="00F8490E"/>
    <w:rsid w:val="00F9075E"/>
    <w:rsid w:val="00F95CD2"/>
    <w:rsid w:val="00FA68E5"/>
    <w:rsid w:val="00FB020C"/>
    <w:rsid w:val="00FB0477"/>
    <w:rsid w:val="00FB1CE4"/>
    <w:rsid w:val="00FB2955"/>
    <w:rsid w:val="00FB29E8"/>
    <w:rsid w:val="00FB59E4"/>
    <w:rsid w:val="00FC3970"/>
    <w:rsid w:val="00FD17AF"/>
    <w:rsid w:val="00FD30BA"/>
    <w:rsid w:val="00FD4339"/>
    <w:rsid w:val="00FE1022"/>
    <w:rsid w:val="00FE32CC"/>
    <w:rsid w:val="00FE68A0"/>
    <w:rsid w:val="00FE7280"/>
    <w:rsid w:val="00FF47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7040CBF"/>
  <w15:docId w15:val="{84F75CB0-408B-451E-A30D-D928C543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sz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FEE"/>
  </w:style>
  <w:style w:type="paragraph" w:styleId="Heading1">
    <w:name w:val="heading 1"/>
    <w:basedOn w:val="Normal"/>
    <w:next w:val="Normal"/>
    <w:link w:val="Heading1Char"/>
    <w:uiPriority w:val="9"/>
    <w:qFormat/>
    <w:rsid w:val="00F701FA"/>
    <w:pPr>
      <w:keepNext/>
      <w:keepLines/>
      <w:spacing w:before="240" w:after="240"/>
      <w:jc w:val="both"/>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uiPriority w:val="9"/>
    <w:unhideWhenUsed/>
    <w:qFormat/>
    <w:rsid w:val="00EE094B"/>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8B70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295"/>
    <w:pPr>
      <w:autoSpaceDE w:val="0"/>
      <w:autoSpaceDN w:val="0"/>
      <w:adjustRightInd w:val="0"/>
      <w:spacing w:after="0" w:line="240" w:lineRule="auto"/>
    </w:pPr>
    <w:rPr>
      <w:rFonts w:ascii="Arial" w:hAnsi="Arial"/>
      <w:color w:val="000000"/>
      <w:sz w:val="24"/>
      <w:szCs w:val="24"/>
    </w:rPr>
  </w:style>
  <w:style w:type="paragraph" w:styleId="BalloonText">
    <w:name w:val="Balloon Text"/>
    <w:basedOn w:val="Normal"/>
    <w:link w:val="BalloonTextChar"/>
    <w:uiPriority w:val="99"/>
    <w:semiHidden/>
    <w:unhideWhenUsed/>
    <w:rsid w:val="00333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28C"/>
    <w:rPr>
      <w:rFonts w:ascii="Tahoma" w:hAnsi="Tahoma" w:cs="Tahoma"/>
      <w:sz w:val="16"/>
      <w:szCs w:val="16"/>
    </w:rPr>
  </w:style>
  <w:style w:type="paragraph" w:styleId="Header">
    <w:name w:val="header"/>
    <w:basedOn w:val="Normal"/>
    <w:link w:val="HeaderChar"/>
    <w:uiPriority w:val="99"/>
    <w:unhideWhenUsed/>
    <w:rsid w:val="003332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328C"/>
  </w:style>
  <w:style w:type="paragraph" w:styleId="Footer">
    <w:name w:val="footer"/>
    <w:basedOn w:val="Normal"/>
    <w:link w:val="FooterChar"/>
    <w:unhideWhenUsed/>
    <w:rsid w:val="0033328C"/>
    <w:pPr>
      <w:tabs>
        <w:tab w:val="center" w:pos="4536"/>
        <w:tab w:val="right" w:pos="9072"/>
      </w:tabs>
      <w:spacing w:after="0" w:line="240" w:lineRule="auto"/>
    </w:pPr>
  </w:style>
  <w:style w:type="character" w:customStyle="1" w:styleId="FooterChar">
    <w:name w:val="Footer Char"/>
    <w:basedOn w:val="DefaultParagraphFont"/>
    <w:link w:val="Footer"/>
    <w:rsid w:val="0033328C"/>
  </w:style>
  <w:style w:type="paragraph" w:customStyle="1" w:styleId="2909F619802848F09E01365C32F34654">
    <w:name w:val="2909F619802848F09E01365C32F34654"/>
    <w:rsid w:val="0033328C"/>
    <w:rPr>
      <w:rFonts w:asciiTheme="minorHAnsi" w:eastAsiaTheme="minorEastAsia" w:hAnsiTheme="minorHAnsi" w:cstheme="minorBidi"/>
      <w:szCs w:val="22"/>
      <w:lang w:eastAsia="de-AT"/>
    </w:rPr>
  </w:style>
  <w:style w:type="character" w:customStyle="1" w:styleId="Heading1Char">
    <w:name w:val="Heading 1 Char"/>
    <w:basedOn w:val="DefaultParagraphFont"/>
    <w:link w:val="Heading1"/>
    <w:uiPriority w:val="9"/>
    <w:rsid w:val="00F701FA"/>
    <w:rPr>
      <w:rFonts w:asciiTheme="minorHAnsi" w:eastAsiaTheme="majorEastAsia" w:hAnsiTheme="minorHAnsi" w:cstheme="majorBidi"/>
      <w:b/>
      <w:bCs/>
      <w:sz w:val="28"/>
      <w:szCs w:val="28"/>
    </w:rPr>
  </w:style>
  <w:style w:type="paragraph" w:styleId="TOCHeading">
    <w:name w:val="TOC Heading"/>
    <w:basedOn w:val="Heading1"/>
    <w:next w:val="Normal"/>
    <w:uiPriority w:val="39"/>
    <w:semiHidden/>
    <w:unhideWhenUsed/>
    <w:qFormat/>
    <w:rsid w:val="0033328C"/>
    <w:pPr>
      <w:outlineLvl w:val="9"/>
    </w:pPr>
    <w:rPr>
      <w:lang w:eastAsia="de-AT"/>
    </w:rPr>
  </w:style>
  <w:style w:type="paragraph" w:styleId="Title">
    <w:name w:val="Title"/>
    <w:basedOn w:val="Normal"/>
    <w:next w:val="Normal"/>
    <w:link w:val="TitleChar"/>
    <w:uiPriority w:val="10"/>
    <w:qFormat/>
    <w:rsid w:val="00BB29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qFormat/>
    <w:rsid w:val="00425483"/>
    <w:pPr>
      <w:tabs>
        <w:tab w:val="left" w:pos="440"/>
        <w:tab w:val="right" w:leader="dot" w:pos="9918"/>
      </w:tabs>
      <w:spacing w:after="100"/>
    </w:pPr>
    <w:rPr>
      <w:b/>
      <w:noProof/>
      <w:lang w:val="en-GB"/>
    </w:rPr>
  </w:style>
  <w:style w:type="character" w:customStyle="1" w:styleId="TitleChar">
    <w:name w:val="Title Char"/>
    <w:basedOn w:val="DefaultParagraphFont"/>
    <w:link w:val="Title"/>
    <w:uiPriority w:val="10"/>
    <w:rsid w:val="00BB29A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B29A2"/>
    <w:pPr>
      <w:spacing w:after="0" w:line="240" w:lineRule="auto"/>
    </w:pPr>
  </w:style>
  <w:style w:type="character" w:customStyle="1" w:styleId="Heading2Char">
    <w:name w:val="Heading 2 Char"/>
    <w:basedOn w:val="DefaultParagraphFont"/>
    <w:link w:val="Heading2"/>
    <w:uiPriority w:val="9"/>
    <w:rsid w:val="00EE094B"/>
    <w:rPr>
      <w:rFonts w:eastAsiaTheme="majorEastAsia" w:cstheme="majorBidi"/>
      <w:b/>
      <w:bCs/>
      <w:szCs w:val="26"/>
    </w:rPr>
  </w:style>
  <w:style w:type="paragraph" w:styleId="Subtitle">
    <w:name w:val="Subtitle"/>
    <w:basedOn w:val="Normal"/>
    <w:next w:val="Normal"/>
    <w:link w:val="SubtitleChar"/>
    <w:uiPriority w:val="11"/>
    <w:qFormat/>
    <w:rsid w:val="00F701FA"/>
    <w:pPr>
      <w:numPr>
        <w:ilvl w:val="1"/>
      </w:numPr>
    </w:pPr>
    <w:rPr>
      <w:rFonts w:asciiTheme="minorHAnsi" w:eastAsiaTheme="majorEastAsia" w:hAnsiTheme="minorHAnsi" w:cstheme="majorBidi"/>
      <w:iCs/>
      <w:spacing w:val="15"/>
      <w:sz w:val="20"/>
      <w:szCs w:val="24"/>
    </w:rPr>
  </w:style>
  <w:style w:type="character" w:customStyle="1" w:styleId="SubtitleChar">
    <w:name w:val="Subtitle Char"/>
    <w:basedOn w:val="DefaultParagraphFont"/>
    <w:link w:val="Subtitle"/>
    <w:uiPriority w:val="11"/>
    <w:rsid w:val="00F701FA"/>
    <w:rPr>
      <w:rFonts w:asciiTheme="minorHAnsi" w:eastAsiaTheme="majorEastAsia" w:hAnsiTheme="minorHAnsi" w:cstheme="majorBidi"/>
      <w:iCs/>
      <w:spacing w:val="15"/>
      <w:sz w:val="20"/>
      <w:szCs w:val="24"/>
    </w:rPr>
  </w:style>
  <w:style w:type="paragraph" w:styleId="Caption">
    <w:name w:val="caption"/>
    <w:basedOn w:val="Normal"/>
    <w:next w:val="Normal"/>
    <w:unhideWhenUsed/>
    <w:qFormat/>
    <w:rsid w:val="00F701FA"/>
    <w:pPr>
      <w:spacing w:line="240" w:lineRule="auto"/>
    </w:pPr>
    <w:rPr>
      <w:b/>
      <w:bCs/>
      <w:color w:val="4F81BD" w:themeColor="accent1"/>
      <w:sz w:val="18"/>
      <w:szCs w:val="18"/>
    </w:rPr>
  </w:style>
  <w:style w:type="table" w:styleId="TableGrid">
    <w:name w:val="Table Grid"/>
    <w:basedOn w:val="TableNormal"/>
    <w:uiPriority w:val="39"/>
    <w:rsid w:val="00F70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B5E"/>
    <w:pPr>
      <w:ind w:left="720"/>
      <w:contextualSpacing/>
    </w:pPr>
  </w:style>
  <w:style w:type="character" w:styleId="Hyperlink">
    <w:name w:val="Hyperlink"/>
    <w:basedOn w:val="DefaultParagraphFont"/>
    <w:uiPriority w:val="99"/>
    <w:unhideWhenUsed/>
    <w:rsid w:val="00BC349E"/>
    <w:rPr>
      <w:color w:val="0000FF" w:themeColor="hyperlink"/>
      <w:u w:val="single"/>
    </w:rPr>
  </w:style>
  <w:style w:type="paragraph" w:styleId="TOC2">
    <w:name w:val="toc 2"/>
    <w:basedOn w:val="Normal"/>
    <w:next w:val="Normal"/>
    <w:autoRedefine/>
    <w:uiPriority w:val="39"/>
    <w:unhideWhenUsed/>
    <w:qFormat/>
    <w:rsid w:val="002546A5"/>
    <w:pPr>
      <w:spacing w:after="100"/>
      <w:ind w:left="220"/>
    </w:pPr>
  </w:style>
  <w:style w:type="paragraph" w:styleId="TOC3">
    <w:name w:val="toc 3"/>
    <w:basedOn w:val="Normal"/>
    <w:next w:val="Normal"/>
    <w:autoRedefine/>
    <w:uiPriority w:val="39"/>
    <w:unhideWhenUsed/>
    <w:qFormat/>
    <w:rsid w:val="00E27F15"/>
    <w:pPr>
      <w:spacing w:after="100"/>
      <w:ind w:left="440"/>
    </w:pPr>
    <w:rPr>
      <w:rFonts w:asciiTheme="minorHAnsi" w:eastAsiaTheme="minorEastAsia" w:hAnsiTheme="minorHAnsi" w:cstheme="minorBidi"/>
      <w:szCs w:val="22"/>
      <w:lang w:eastAsia="de-AT"/>
    </w:rPr>
  </w:style>
  <w:style w:type="paragraph" w:styleId="CommentText">
    <w:name w:val="annotation text"/>
    <w:basedOn w:val="Normal"/>
    <w:link w:val="CommentTextChar"/>
    <w:uiPriority w:val="99"/>
    <w:unhideWhenUsed/>
    <w:rsid w:val="00DD020C"/>
    <w:pPr>
      <w:spacing w:after="160" w:line="259" w:lineRule="auto"/>
    </w:pPr>
    <w:rPr>
      <w:rFonts w:asciiTheme="minorHAnsi" w:hAnsiTheme="minorHAnsi" w:cstheme="minorBidi"/>
      <w:lang w:val="de-DE"/>
    </w:rPr>
  </w:style>
  <w:style w:type="character" w:customStyle="1" w:styleId="CommentTextChar">
    <w:name w:val="Comment Text Char"/>
    <w:basedOn w:val="DefaultParagraphFont"/>
    <w:link w:val="CommentText"/>
    <w:uiPriority w:val="99"/>
    <w:rsid w:val="00DD020C"/>
    <w:rPr>
      <w:rFonts w:asciiTheme="minorHAnsi" w:hAnsiTheme="minorHAnsi" w:cstheme="minorBidi"/>
      <w:lang w:val="de-DE"/>
    </w:rPr>
  </w:style>
  <w:style w:type="character" w:styleId="CommentReference">
    <w:name w:val="annotation reference"/>
    <w:basedOn w:val="DefaultParagraphFont"/>
    <w:semiHidden/>
    <w:unhideWhenUsed/>
    <w:rsid w:val="00DD020C"/>
    <w:rPr>
      <w:sz w:val="16"/>
      <w:szCs w:val="16"/>
    </w:rPr>
  </w:style>
  <w:style w:type="paragraph" w:styleId="CommentSubject">
    <w:name w:val="annotation subject"/>
    <w:basedOn w:val="CommentText"/>
    <w:next w:val="CommentText"/>
    <w:link w:val="CommentSubjectChar"/>
    <w:uiPriority w:val="99"/>
    <w:semiHidden/>
    <w:unhideWhenUsed/>
    <w:rsid w:val="0094655B"/>
    <w:pPr>
      <w:spacing w:after="200" w:line="240" w:lineRule="auto"/>
    </w:pPr>
    <w:rPr>
      <w:rFonts w:ascii="Calibri" w:hAnsi="Calibri" w:cs="Arial"/>
      <w:b/>
      <w:bCs/>
      <w:sz w:val="20"/>
      <w:lang w:val="de-AT"/>
    </w:rPr>
  </w:style>
  <w:style w:type="character" w:customStyle="1" w:styleId="CommentSubjectChar">
    <w:name w:val="Comment Subject Char"/>
    <w:basedOn w:val="CommentTextChar"/>
    <w:link w:val="CommentSubject"/>
    <w:uiPriority w:val="99"/>
    <w:semiHidden/>
    <w:rsid w:val="0094655B"/>
    <w:rPr>
      <w:rFonts w:asciiTheme="minorHAnsi" w:hAnsiTheme="minorHAnsi" w:cstheme="minorBidi"/>
      <w:b/>
      <w:bCs/>
      <w:sz w:val="20"/>
      <w:lang w:val="de-DE"/>
    </w:rPr>
  </w:style>
  <w:style w:type="paragraph" w:styleId="NormalWeb">
    <w:name w:val="Normal (Web)"/>
    <w:basedOn w:val="Normal"/>
    <w:uiPriority w:val="99"/>
    <w:semiHidden/>
    <w:unhideWhenUsed/>
    <w:rsid w:val="0077100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ollowedHyperlink">
    <w:name w:val="FollowedHyperlink"/>
    <w:basedOn w:val="DefaultParagraphFont"/>
    <w:uiPriority w:val="99"/>
    <w:semiHidden/>
    <w:unhideWhenUsed/>
    <w:rsid w:val="0089352C"/>
    <w:rPr>
      <w:color w:val="800080" w:themeColor="followedHyperlink"/>
      <w:u w:val="single"/>
    </w:rPr>
  </w:style>
  <w:style w:type="character" w:customStyle="1" w:styleId="Heading3Char">
    <w:name w:val="Heading 3 Char"/>
    <w:basedOn w:val="DefaultParagraphFont"/>
    <w:link w:val="Heading3"/>
    <w:uiPriority w:val="9"/>
    <w:semiHidden/>
    <w:rsid w:val="008B705D"/>
    <w:rPr>
      <w:rFonts w:asciiTheme="majorHAnsi" w:eastAsiaTheme="majorEastAsia" w:hAnsiTheme="majorHAnsi" w:cstheme="majorBidi"/>
      <w:color w:val="243F60" w:themeColor="accent1" w:themeShade="7F"/>
      <w:sz w:val="24"/>
      <w:szCs w:val="24"/>
    </w:rPr>
  </w:style>
  <w:style w:type="character" w:customStyle="1" w:styleId="IOPTextChar">
    <w:name w:val="IOPText Char"/>
    <w:basedOn w:val="DefaultParagraphFont"/>
    <w:link w:val="IOPText"/>
    <w:locked/>
    <w:rsid w:val="00074E73"/>
    <w:rPr>
      <w:rFonts w:ascii="Times New Roman" w:hAnsi="Times New Roman"/>
      <w:sz w:val="20"/>
    </w:rPr>
  </w:style>
  <w:style w:type="paragraph" w:customStyle="1" w:styleId="IOPText">
    <w:name w:val="IOPText"/>
    <w:basedOn w:val="Normal"/>
    <w:link w:val="IOPTextChar"/>
    <w:qFormat/>
    <w:rsid w:val="00074E73"/>
    <w:pPr>
      <w:spacing w:after="0" w:line="256" w:lineRule="auto"/>
      <w:ind w:firstLine="227"/>
      <w:jc w:val="both"/>
    </w:pPr>
    <w:rPr>
      <w:rFonts w:ascii="Times New Roman" w:hAnsi="Times New Roman"/>
      <w:sz w:val="20"/>
    </w:rPr>
  </w:style>
  <w:style w:type="paragraph" w:customStyle="1" w:styleId="Table">
    <w:name w:val="Table"/>
    <w:basedOn w:val="Normal"/>
    <w:next w:val="Normal"/>
    <w:qFormat/>
    <w:rsid w:val="00074E73"/>
    <w:pPr>
      <w:keepNext/>
      <w:spacing w:before="240" w:after="120" w:line="240" w:lineRule="auto"/>
      <w:ind w:firstLine="227"/>
      <w:jc w:val="center"/>
    </w:pPr>
    <w:rPr>
      <w:rFonts w:asciiTheme="minorHAnsi" w:hAnsiTheme="minorHAnsi" w:cstheme="minorHAnsi"/>
      <w:iCs/>
      <w:sz w:val="20"/>
      <w:szCs w:val="22"/>
    </w:rPr>
  </w:style>
  <w:style w:type="paragraph" w:customStyle="1" w:styleId="Figure">
    <w:name w:val="Figure"/>
    <w:basedOn w:val="Normal"/>
    <w:next w:val="Normal"/>
    <w:qFormat/>
    <w:rsid w:val="00074E73"/>
    <w:pPr>
      <w:spacing w:before="120" w:after="240" w:line="240" w:lineRule="auto"/>
      <w:ind w:firstLine="227"/>
      <w:jc w:val="center"/>
    </w:pPr>
    <w:rPr>
      <w:rFonts w:asciiTheme="minorHAnsi" w:hAnsiTheme="minorHAnsi" w:cstheme="minorHAnsi"/>
      <w:sz w:val="20"/>
      <w:szCs w:val="22"/>
      <w:lang w:val="en-US"/>
    </w:rPr>
  </w:style>
  <w:style w:type="character" w:styleId="SubtleEmphasis">
    <w:name w:val="Subtle Emphasis"/>
    <w:basedOn w:val="DefaultParagraphFont"/>
    <w:uiPriority w:val="19"/>
    <w:qFormat/>
    <w:rsid w:val="009E0133"/>
    <w:rPr>
      <w:i/>
      <w:iCs/>
      <w:color w:val="404040" w:themeColor="text1" w:themeTint="BF"/>
    </w:rPr>
  </w:style>
  <w:style w:type="character" w:customStyle="1" w:styleId="Nevyeenzmnka1">
    <w:name w:val="Nevyřešená zmínka1"/>
    <w:basedOn w:val="DefaultParagraphFont"/>
    <w:uiPriority w:val="99"/>
    <w:semiHidden/>
    <w:unhideWhenUsed/>
    <w:rsid w:val="00BE33B4"/>
    <w:rPr>
      <w:color w:val="605E5C"/>
      <w:shd w:val="clear" w:color="auto" w:fill="E1DFDD"/>
    </w:rPr>
  </w:style>
  <w:style w:type="paragraph" w:styleId="FootnoteText">
    <w:name w:val="footnote text"/>
    <w:basedOn w:val="Normal"/>
    <w:link w:val="FootnoteTextChar"/>
    <w:uiPriority w:val="99"/>
    <w:semiHidden/>
    <w:unhideWhenUsed/>
    <w:rsid w:val="00C04D2F"/>
    <w:pPr>
      <w:spacing w:after="0" w:line="240" w:lineRule="auto"/>
    </w:pPr>
    <w:rPr>
      <w:sz w:val="20"/>
    </w:rPr>
  </w:style>
  <w:style w:type="character" w:customStyle="1" w:styleId="FootnoteTextChar">
    <w:name w:val="Footnote Text Char"/>
    <w:basedOn w:val="DefaultParagraphFont"/>
    <w:link w:val="FootnoteText"/>
    <w:uiPriority w:val="99"/>
    <w:semiHidden/>
    <w:rsid w:val="00C04D2F"/>
    <w:rPr>
      <w:sz w:val="20"/>
    </w:rPr>
  </w:style>
  <w:style w:type="character" w:styleId="FootnoteReference">
    <w:name w:val="footnote reference"/>
    <w:basedOn w:val="DefaultParagraphFont"/>
    <w:uiPriority w:val="99"/>
    <w:semiHidden/>
    <w:unhideWhenUsed/>
    <w:rsid w:val="00C04D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727060">
      <w:bodyDiv w:val="1"/>
      <w:marLeft w:val="0"/>
      <w:marRight w:val="0"/>
      <w:marTop w:val="0"/>
      <w:marBottom w:val="0"/>
      <w:divBdr>
        <w:top w:val="none" w:sz="0" w:space="0" w:color="auto"/>
        <w:left w:val="none" w:sz="0" w:space="0" w:color="auto"/>
        <w:bottom w:val="none" w:sz="0" w:space="0" w:color="auto"/>
        <w:right w:val="none" w:sz="0" w:space="0" w:color="auto"/>
      </w:divBdr>
    </w:div>
    <w:div w:id="1053773575">
      <w:bodyDiv w:val="1"/>
      <w:marLeft w:val="0"/>
      <w:marRight w:val="0"/>
      <w:marTop w:val="0"/>
      <w:marBottom w:val="0"/>
      <w:divBdr>
        <w:top w:val="none" w:sz="0" w:space="0" w:color="auto"/>
        <w:left w:val="none" w:sz="0" w:space="0" w:color="auto"/>
        <w:bottom w:val="none" w:sz="0" w:space="0" w:color="auto"/>
        <w:right w:val="none" w:sz="0" w:space="0" w:color="auto"/>
      </w:divBdr>
    </w:div>
    <w:div w:id="1427536691">
      <w:bodyDiv w:val="1"/>
      <w:marLeft w:val="0"/>
      <w:marRight w:val="0"/>
      <w:marTop w:val="0"/>
      <w:marBottom w:val="0"/>
      <w:divBdr>
        <w:top w:val="none" w:sz="0" w:space="0" w:color="auto"/>
        <w:left w:val="none" w:sz="0" w:space="0" w:color="auto"/>
        <w:bottom w:val="none" w:sz="0" w:space="0" w:color="auto"/>
        <w:right w:val="none" w:sz="0" w:space="0" w:color="auto"/>
      </w:divBdr>
    </w:div>
    <w:div w:id="205037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apradiso.2010.01.004"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etroradon.e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B1B728-4627-4177-A162-2DBC1E22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7789</Words>
  <Characters>43698</Characters>
  <Application>Microsoft Office Word</Application>
  <DocSecurity>0</DocSecurity>
  <Lines>728</Lines>
  <Paragraphs>268</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
      <vt:lpstr/>
      <vt:lpstr/>
    </vt:vector>
  </TitlesOfParts>
  <Company>BEV</Company>
  <LinksUpToDate>false</LinksUpToDate>
  <CharactersWithSpaces>51219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Wiedner Hannah</dc:creator>
  <cp:lastModifiedBy>CINELLI Giorgia (JRC-ISPRA)</cp:lastModifiedBy>
  <cp:revision>5</cp:revision>
  <cp:lastPrinted>2020-10-29T09:31:00Z</cp:lastPrinted>
  <dcterms:created xsi:type="dcterms:W3CDTF">2020-12-22T09:43:00Z</dcterms:created>
  <dcterms:modified xsi:type="dcterms:W3CDTF">2020-12-22T09:59:00Z</dcterms:modified>
</cp:coreProperties>
</file>